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w:t>
      </w:r>
      <w:bookmarkStart w:id="0" w:name="_GoBack"/>
      <w:bookmarkEnd w:id="0"/>
      <w:r w:rsidRPr="00FE0F7E">
        <w:rPr>
          <w:szCs w:val="28"/>
        </w:rPr>
        <w:t>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в соответствии с порядком, предусмотренным приглашением к участию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7"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w:t>
      </w:r>
      <w:proofErr w:type="gramStart"/>
      <w:r w:rsidRPr="00FE0F7E">
        <w:rPr>
          <w:sz w:val="28"/>
          <w:szCs w:val="28"/>
        </w:rPr>
        <w:t>на 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rsidR="00060C75" w:rsidRPr="00521D70" w:rsidRDefault="00CB62F2" w:rsidP="00060C75">
      <w:pPr>
        <w:pStyle w:val="a3"/>
        <w:numPr>
          <w:ilvl w:val="2"/>
          <w:numId w:val="2"/>
        </w:numPr>
        <w:ind w:left="0" w:firstLine="709"/>
        <w:jc w:val="both"/>
        <w:rPr>
          <w:rFonts w:eastAsia="MS Mincho"/>
          <w:sz w:val="28"/>
          <w:szCs w:val="28"/>
        </w:rPr>
      </w:pPr>
      <w:r w:rsidRPr="00FE0F7E">
        <w:rPr>
          <w:sz w:val="28"/>
          <w:szCs w:val="28"/>
        </w:rPr>
        <w:t xml:space="preserve">Конкурентный отбор может быть прекращен </w:t>
      </w:r>
      <w:r w:rsidR="00060C75">
        <w:rPr>
          <w:sz w:val="28"/>
          <w:szCs w:val="28"/>
        </w:rPr>
        <w:t>до наступления даты и времени проведения конкурентного отбора</w:t>
      </w:r>
      <w:r w:rsidRPr="00FE0F7E">
        <w:rPr>
          <w:sz w:val="28"/>
          <w:szCs w:val="28"/>
        </w:rPr>
        <w:t xml:space="preserve">. </w:t>
      </w:r>
      <w:r w:rsidR="00060C75">
        <w:rPr>
          <w:sz w:val="28"/>
          <w:szCs w:val="28"/>
        </w:rPr>
        <w:t xml:space="preserve">По истечении данного срока и </w:t>
      </w:r>
      <w:r w:rsidR="00060C75" w:rsidRPr="002B25DC">
        <w:rPr>
          <w:sz w:val="28"/>
          <w:szCs w:val="28"/>
        </w:rPr>
        <w:t xml:space="preserve">до заключения договора заказчик вправе </w:t>
      </w:r>
      <w:r w:rsidR="00060C75">
        <w:rPr>
          <w:sz w:val="28"/>
          <w:szCs w:val="28"/>
        </w:rPr>
        <w:t>прекратить конкурентный отбор</w:t>
      </w:r>
      <w:r w:rsidR="00060C75" w:rsidRPr="002B25DC">
        <w:rPr>
          <w:sz w:val="28"/>
          <w:szCs w:val="28"/>
        </w:rPr>
        <w:t xml:space="preserve"> только в случае возникновения обстоятельств непреодолимой силы в соответствии с гражданским законодательством.</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Уведомление об отказе от проведения конкурентного отбора размещается на сайтах </w:t>
      </w:r>
      <w:r w:rsidR="00060C75">
        <w:rPr>
          <w:sz w:val="28"/>
          <w:szCs w:val="28"/>
        </w:rPr>
        <w:t>в день</w:t>
      </w:r>
      <w:r w:rsidRPr="00FE0F7E">
        <w:rPr>
          <w:sz w:val="28"/>
          <w:szCs w:val="28"/>
        </w:rPr>
        <w:t xml:space="preserve">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060C75" w:rsidRPr="00060C75" w:rsidRDefault="00060C75" w:rsidP="00060C75">
      <w:pPr>
        <w:pStyle w:val="11"/>
        <w:numPr>
          <w:ilvl w:val="2"/>
          <w:numId w:val="2"/>
        </w:numPr>
        <w:ind w:left="0" w:firstLine="709"/>
        <w:rPr>
          <w:szCs w:val="28"/>
        </w:rPr>
      </w:pPr>
      <w:r w:rsidRPr="00750B3C">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 xml:space="preserve">Для участия в конкурентном отборе не требуется наличие </w:t>
      </w:r>
      <w:r w:rsidR="001B3755">
        <w:rPr>
          <w:szCs w:val="28"/>
        </w:rPr>
        <w:t>усиленной квалифицированной</w:t>
      </w:r>
      <w:r w:rsidR="001B3755" w:rsidRPr="00FE0F7E">
        <w:rPr>
          <w:szCs w:val="28"/>
        </w:rPr>
        <w:t xml:space="preserve"> </w:t>
      </w:r>
      <w:r w:rsidRPr="00FE0F7E">
        <w:rPr>
          <w:szCs w:val="28"/>
        </w:rPr>
        <w:t>электронной подписи.</w:t>
      </w:r>
    </w:p>
    <w:p w:rsidR="00CB62F2" w:rsidRPr="00FE0F7E" w:rsidRDefault="00CB62F2" w:rsidP="00CB62F2">
      <w:pPr>
        <w:pStyle w:val="11"/>
        <w:numPr>
          <w:ilvl w:val="2"/>
          <w:numId w:val="2"/>
        </w:numPr>
        <w:ind w:left="0" w:firstLine="709"/>
        <w:rPr>
          <w:szCs w:val="28"/>
        </w:rPr>
      </w:pPr>
      <w:r w:rsidRPr="00FE0F7E">
        <w:rPr>
          <w:szCs w:val="28"/>
        </w:rPr>
        <w:lastRenderedPageBreak/>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Участники конкурентного отбора представляют свои предложения о цене договора, при этом цена предложений не должна быть равна или превышать начальную (максимальную) цену договора</w:t>
      </w:r>
      <w:r w:rsidRPr="00FE0F7E">
        <w:rPr>
          <w:sz w:val="28"/>
          <w:szCs w:val="28"/>
        </w:rPr>
        <w:t>,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lastRenderedPageBreak/>
        <w:t>В случае если в ходе проведения конкурентного отбора цена договора снижена до нуля, то участники конкурентного отбора вправе представлять предложения о цене договора,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несколько участников конкурентного отбора представили одинаковые по цене договора предложения, лучшим из таких предложений признается представленное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или, если при проведении конкурентного отбора цена договора снижена до нуля и конкурентный отбор проводится на право заключить договор, наиболее высокую цену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несостоявшимся</w:t>
      </w:r>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Конкурентный отбор 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Если конкурентный отбор признан несостоявшимся вследствие представления предложения о цене договора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признан несостоявшимся, заказчик вправе объявить новый конкурентный отбор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 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w:t>
      </w:r>
      <w:proofErr w:type="gramStart"/>
      <w:r w:rsidRPr="00FE0F7E">
        <w:rPr>
          <w:color w:val="000000"/>
          <w:sz w:val="28"/>
          <w:szCs w:val="28"/>
        </w:rPr>
        <w:t>в случаях</w:t>
      </w:r>
      <w:proofErr w:type="gramEnd"/>
      <w:r w:rsidRPr="00FE0F7E">
        <w:rPr>
          <w:color w:val="000000"/>
          <w:sz w:val="28"/>
          <w:szCs w:val="28"/>
        </w:rPr>
        <w:t xml:space="preserve">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w:t>
      </w:r>
      <w:r w:rsidR="00DC60E9">
        <w:rPr>
          <w:color w:val="000000"/>
          <w:sz w:val="28"/>
          <w:szCs w:val="28"/>
        </w:rPr>
        <w:t xml:space="preserve"> </w:t>
      </w:r>
      <w:r w:rsidR="00060C75" w:rsidRPr="002B25DC">
        <w:rPr>
          <w:sz w:val="28"/>
          <w:szCs w:val="28"/>
        </w:rPr>
        <w:t>не ранее чем через 10 дней и не позднее чем через 20 дней с даты размещения на сайтах протокола</w:t>
      </w:r>
      <w:r w:rsidR="00EC1793">
        <w:rPr>
          <w:sz w:val="28"/>
          <w:szCs w:val="28"/>
        </w:rPr>
        <w:t xml:space="preserve"> конкурентного отбора</w:t>
      </w:r>
      <w:r w:rsidR="00060C75" w:rsidRPr="002B25DC">
        <w:rPr>
          <w:sz w:val="28"/>
          <w:szCs w:val="28"/>
        </w:rPr>
        <w:t xml:space="preserve">. В случае необходимости одобрения органом управления заказчика </w:t>
      </w:r>
      <w:r w:rsidR="00060C75" w:rsidRPr="007760FA">
        <w:rPr>
          <w:color w:val="000000"/>
          <w:sz w:val="28"/>
          <w:szCs w:val="28"/>
        </w:rPr>
        <w:t xml:space="preserve">в соответствии с законодательством Российской Федерации, </w:t>
      </w:r>
      <w:r w:rsidR="00060C75" w:rsidRPr="002B25DC">
        <w:rPr>
          <w:sz w:val="28"/>
          <w:szCs w:val="28"/>
        </w:rPr>
        <w:t>заключения договора или в случае обжалования в антимонопольном органе действий (бездействия) заказчика,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оператора ЭТЗП.</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6.1.8.1. при проведении конкурентного отбора среди субъектов малого и среднего предпринимательства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75388D" w:rsidRPr="00293217" w:rsidRDefault="00DE53F9" w:rsidP="00DE53F9">
      <w:pPr>
        <w:ind w:firstLine="708"/>
        <w:jc w:val="both"/>
        <w:rPr>
          <w:color w:val="000000"/>
          <w:sz w:val="28"/>
          <w:szCs w:val="28"/>
        </w:rPr>
      </w:pPr>
    </w:p>
    <w:sectPr w:rsidR="0075388D" w:rsidRPr="00293217" w:rsidSect="004451B0">
      <w:headerReference w:type="default" r:id="rId8"/>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129" w:rsidRDefault="00617129" w:rsidP="00950C74">
      <w:r>
        <w:separator/>
      </w:r>
    </w:p>
  </w:endnote>
  <w:endnote w:type="continuationSeparator" w:id="0">
    <w:p w:rsidR="00617129" w:rsidRDefault="00617129"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129" w:rsidRDefault="00617129" w:rsidP="00950C74">
      <w:r>
        <w:separator/>
      </w:r>
    </w:p>
  </w:footnote>
  <w:footnote w:type="continuationSeparator" w:id="0">
    <w:p w:rsidR="00617129" w:rsidRDefault="00617129"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6D" w:rsidRDefault="00496C62">
    <w:pPr>
      <w:pStyle w:val="a7"/>
      <w:jc w:val="center"/>
    </w:pPr>
    <w:r>
      <w:fldChar w:fldCharType="begin"/>
    </w:r>
    <w:r w:rsidR="00CB62F2">
      <w:instrText xml:space="preserve"> PAGE   \* MERGEFORMAT </w:instrText>
    </w:r>
    <w:r>
      <w:fldChar w:fldCharType="separate"/>
    </w:r>
    <w:r w:rsidR="00DE53F9">
      <w:rPr>
        <w:noProof/>
      </w:rPr>
      <w:t>8</w:t>
    </w:r>
    <w:r>
      <w:fldChar w:fldCharType="end"/>
    </w:r>
  </w:p>
  <w:p w:rsidR="00A31C6D" w:rsidRDefault="00DE53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228B4"/>
    <w:rsid w:val="00035E3B"/>
    <w:rsid w:val="00055580"/>
    <w:rsid w:val="00060C75"/>
    <w:rsid w:val="000A456B"/>
    <w:rsid w:val="000C512B"/>
    <w:rsid w:val="000D1732"/>
    <w:rsid w:val="000D4524"/>
    <w:rsid w:val="001003A8"/>
    <w:rsid w:val="00101D4A"/>
    <w:rsid w:val="0010647F"/>
    <w:rsid w:val="00147092"/>
    <w:rsid w:val="00161F2A"/>
    <w:rsid w:val="001B3755"/>
    <w:rsid w:val="001D62E7"/>
    <w:rsid w:val="001E7FCD"/>
    <w:rsid w:val="001F5455"/>
    <w:rsid w:val="00213061"/>
    <w:rsid w:val="00276E71"/>
    <w:rsid w:val="00293217"/>
    <w:rsid w:val="0029352C"/>
    <w:rsid w:val="0036715F"/>
    <w:rsid w:val="003A216B"/>
    <w:rsid w:val="003D6AC6"/>
    <w:rsid w:val="00404B73"/>
    <w:rsid w:val="00411D19"/>
    <w:rsid w:val="0047455F"/>
    <w:rsid w:val="00487F9E"/>
    <w:rsid w:val="00496C62"/>
    <w:rsid w:val="004A6347"/>
    <w:rsid w:val="004D6DF7"/>
    <w:rsid w:val="0054545D"/>
    <w:rsid w:val="005A332B"/>
    <w:rsid w:val="005B0DEB"/>
    <w:rsid w:val="005D0518"/>
    <w:rsid w:val="005F1871"/>
    <w:rsid w:val="00602671"/>
    <w:rsid w:val="00617129"/>
    <w:rsid w:val="00646857"/>
    <w:rsid w:val="006553C6"/>
    <w:rsid w:val="006806B2"/>
    <w:rsid w:val="007262EF"/>
    <w:rsid w:val="00745EF2"/>
    <w:rsid w:val="00754F2C"/>
    <w:rsid w:val="007625D5"/>
    <w:rsid w:val="007B2D81"/>
    <w:rsid w:val="00805A88"/>
    <w:rsid w:val="008637DC"/>
    <w:rsid w:val="008A5087"/>
    <w:rsid w:val="008C43CE"/>
    <w:rsid w:val="008E0867"/>
    <w:rsid w:val="009337F4"/>
    <w:rsid w:val="00950C74"/>
    <w:rsid w:val="00970F35"/>
    <w:rsid w:val="009A0D3B"/>
    <w:rsid w:val="009A368A"/>
    <w:rsid w:val="00A63C85"/>
    <w:rsid w:val="00A673F1"/>
    <w:rsid w:val="00A87799"/>
    <w:rsid w:val="00AD063E"/>
    <w:rsid w:val="00B27FEF"/>
    <w:rsid w:val="00B413C7"/>
    <w:rsid w:val="00B45436"/>
    <w:rsid w:val="00B5133C"/>
    <w:rsid w:val="00B95B01"/>
    <w:rsid w:val="00C0316B"/>
    <w:rsid w:val="00C367D2"/>
    <w:rsid w:val="00CA1E2C"/>
    <w:rsid w:val="00CB62F2"/>
    <w:rsid w:val="00CD689A"/>
    <w:rsid w:val="00CF5C84"/>
    <w:rsid w:val="00CF751B"/>
    <w:rsid w:val="00D503FE"/>
    <w:rsid w:val="00D52D63"/>
    <w:rsid w:val="00D65A85"/>
    <w:rsid w:val="00D805BC"/>
    <w:rsid w:val="00DA6F00"/>
    <w:rsid w:val="00DC60E9"/>
    <w:rsid w:val="00DE53F9"/>
    <w:rsid w:val="00E10612"/>
    <w:rsid w:val="00E16B27"/>
    <w:rsid w:val="00E35B19"/>
    <w:rsid w:val="00E4052D"/>
    <w:rsid w:val="00E4636F"/>
    <w:rsid w:val="00E623DE"/>
    <w:rsid w:val="00E6371F"/>
    <w:rsid w:val="00EB77EA"/>
    <w:rsid w:val="00EC1793"/>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FD8BF-2681-4A02-B2CF-41BCCA7E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2898</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Ванеев Алексей Анатольевич</cp:lastModifiedBy>
  <cp:revision>8</cp:revision>
  <dcterms:created xsi:type="dcterms:W3CDTF">2018-07-03T12:32:00Z</dcterms:created>
  <dcterms:modified xsi:type="dcterms:W3CDTF">2018-08-06T09:38:00Z</dcterms:modified>
</cp:coreProperties>
</file>