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59" w:rsidRPr="00264073" w:rsidRDefault="00660B59" w:rsidP="00660B59">
      <w:pPr>
        <w:pStyle w:val="Times12"/>
        <w:ind w:left="5103" w:firstLine="0"/>
        <w:jc w:val="right"/>
        <w:rPr>
          <w:rFonts w:ascii="Times New Roman" w:hAnsi="Times New Roman"/>
          <w:b/>
          <w:iCs/>
          <w:szCs w:val="24"/>
        </w:rPr>
      </w:pPr>
      <w:bookmarkStart w:id="0" w:name="_GoBack"/>
      <w:bookmarkEnd w:id="0"/>
      <w:r>
        <w:rPr>
          <w:rFonts w:ascii="Times New Roman" w:hAnsi="Times New Roman"/>
          <w:b/>
          <w:iCs/>
          <w:szCs w:val="24"/>
        </w:rPr>
        <w:t>Приложение № 4</w:t>
      </w:r>
    </w:p>
    <w:p w:rsidR="00660B59" w:rsidRPr="00BE519F" w:rsidRDefault="00660B59" w:rsidP="00660B59">
      <w:pPr>
        <w:pStyle w:val="Times12"/>
        <w:ind w:left="5103" w:firstLine="0"/>
        <w:jc w:val="right"/>
        <w:rPr>
          <w:rFonts w:ascii="Times New Roman" w:hAnsi="Times New Roman"/>
          <w:b/>
          <w:iCs/>
          <w:szCs w:val="24"/>
        </w:rPr>
      </w:pPr>
      <w:r w:rsidRPr="00BE519F">
        <w:rPr>
          <w:rFonts w:ascii="Times New Roman" w:hAnsi="Times New Roman"/>
          <w:b/>
          <w:iCs/>
          <w:szCs w:val="24"/>
        </w:rPr>
        <w:t xml:space="preserve"> к Информационному сообщению</w:t>
      </w:r>
    </w:p>
    <w:p w:rsidR="00660B59" w:rsidRDefault="00660B59" w:rsidP="003320B3">
      <w:pPr>
        <w:tabs>
          <w:tab w:val="left" w:pos="4395"/>
        </w:tabs>
        <w:jc w:val="center"/>
        <w:rPr>
          <w:rFonts w:ascii="Calibri" w:eastAsiaTheme="minorEastAsia" w:hAnsi="Calibri" w:cs="Arial"/>
          <w:b/>
          <w:color w:val="000000"/>
          <w:sz w:val="28"/>
          <w:szCs w:val="28"/>
          <w:lang w:eastAsia="ru-RU"/>
        </w:rPr>
      </w:pPr>
    </w:p>
    <w:p w:rsidR="000D7C4D" w:rsidRPr="007D09A6" w:rsidRDefault="000D7C4D" w:rsidP="003320B3">
      <w:pPr>
        <w:tabs>
          <w:tab w:val="left" w:pos="4395"/>
        </w:tabs>
        <w:jc w:val="center"/>
        <w:rPr>
          <w:rFonts w:ascii="Calibri" w:eastAsiaTheme="minorEastAsia" w:hAnsi="Calibri" w:cs="Arial"/>
          <w:b/>
          <w:color w:val="000000"/>
          <w:sz w:val="28"/>
          <w:szCs w:val="28"/>
          <w:lang w:eastAsia="ru-RU"/>
        </w:rPr>
      </w:pPr>
      <w:r w:rsidRPr="007D09A6">
        <w:rPr>
          <w:rFonts w:ascii="Calibri" w:eastAsiaTheme="minorEastAsia" w:hAnsi="Calibri" w:cs="Arial"/>
          <w:b/>
          <w:color w:val="000000"/>
          <w:sz w:val="28"/>
          <w:szCs w:val="28"/>
          <w:lang w:eastAsia="ru-RU"/>
        </w:rPr>
        <w:t>Техническое задание</w:t>
      </w:r>
    </w:p>
    <w:p w:rsidR="000D7C4D" w:rsidRDefault="000D7C4D" w:rsidP="00293CEC">
      <w:pPr>
        <w:pStyle w:val="a3"/>
        <w:ind w:left="284"/>
        <w:rPr>
          <w:b/>
        </w:rPr>
      </w:pPr>
    </w:p>
    <w:p w:rsidR="00293CEC" w:rsidRPr="00EE7D67" w:rsidRDefault="00293CEC" w:rsidP="00293CEC">
      <w:pPr>
        <w:tabs>
          <w:tab w:val="left" w:pos="567"/>
        </w:tabs>
        <w:ind w:right="-3"/>
        <w:jc w:val="both"/>
        <w:rPr>
          <w:rFonts w:ascii="Calibri" w:eastAsiaTheme="minorEastAsia" w:hAnsi="Calibri" w:cs="Arial"/>
          <w:color w:val="000000"/>
          <w:szCs w:val="21"/>
          <w:lang w:eastAsia="ru-RU"/>
        </w:rPr>
      </w:pPr>
      <w:r w:rsidRPr="007D09A6">
        <w:rPr>
          <w:rFonts w:ascii="Calibri" w:eastAsiaTheme="minorEastAsia" w:hAnsi="Calibri" w:cs="Arial"/>
          <w:b/>
          <w:color w:val="000000"/>
          <w:szCs w:val="21"/>
          <w:lang w:eastAsia="ru-RU"/>
        </w:rPr>
        <w:t xml:space="preserve">Заказчик </w:t>
      </w:r>
      <w:r w:rsidRPr="00EE7D67">
        <w:rPr>
          <w:rFonts w:ascii="Calibri" w:eastAsiaTheme="minorEastAsia" w:hAnsi="Calibri" w:cs="Arial"/>
          <w:color w:val="000000"/>
          <w:szCs w:val="21"/>
          <w:lang w:eastAsia="ru-RU"/>
        </w:rPr>
        <w:t>- ПАО «Почта Банк»</w:t>
      </w:r>
    </w:p>
    <w:p w:rsidR="00293CEC" w:rsidRDefault="00293CEC" w:rsidP="00293CEC">
      <w:pPr>
        <w:tabs>
          <w:tab w:val="left" w:pos="567"/>
        </w:tabs>
        <w:ind w:right="-3"/>
        <w:jc w:val="both"/>
        <w:rPr>
          <w:rFonts w:ascii="Calibri" w:eastAsiaTheme="minorEastAsia" w:hAnsi="Calibri" w:cs="Arial"/>
          <w:color w:val="000000"/>
          <w:szCs w:val="21"/>
          <w:lang w:eastAsia="ru-RU"/>
        </w:rPr>
      </w:pPr>
      <w:r w:rsidRPr="00311DC7">
        <w:rPr>
          <w:rFonts w:ascii="Calibri" w:eastAsiaTheme="minorEastAsia" w:hAnsi="Calibri" w:cs="Arial"/>
          <w:b/>
          <w:color w:val="000000"/>
          <w:szCs w:val="21"/>
          <w:lang w:eastAsia="ru-RU"/>
        </w:rPr>
        <w:t xml:space="preserve">Предмет </w:t>
      </w:r>
      <w:r w:rsidRPr="00EE7D67">
        <w:rPr>
          <w:rFonts w:ascii="Calibri" w:eastAsiaTheme="minorEastAsia" w:hAnsi="Calibri" w:cs="Arial"/>
          <w:color w:val="000000"/>
          <w:szCs w:val="21"/>
          <w:lang w:eastAsia="ru-RU"/>
        </w:rPr>
        <w:t>-</w:t>
      </w:r>
      <w:r>
        <w:rPr>
          <w:rFonts w:ascii="Calibri" w:eastAsiaTheme="minorEastAsia" w:hAnsi="Calibri" w:cs="Arial"/>
          <w:color w:val="000000"/>
          <w:szCs w:val="21"/>
          <w:lang w:eastAsia="ru-RU"/>
        </w:rPr>
        <w:t xml:space="preserve"> </w:t>
      </w:r>
      <w:r w:rsidRPr="00EE7D67">
        <w:rPr>
          <w:rFonts w:ascii="Calibri" w:eastAsiaTheme="minorEastAsia" w:hAnsi="Calibri" w:cs="Arial"/>
          <w:color w:val="000000"/>
          <w:szCs w:val="21"/>
          <w:lang w:eastAsia="ru-RU"/>
        </w:rPr>
        <w:t xml:space="preserve">услуги </w:t>
      </w:r>
      <w:r w:rsidR="00E54A40">
        <w:rPr>
          <w:rFonts w:ascii="Calibri" w:eastAsiaTheme="minorEastAsia" w:hAnsi="Calibri" w:cs="Arial"/>
          <w:color w:val="000000"/>
          <w:szCs w:val="21"/>
          <w:lang w:eastAsia="ru-RU"/>
        </w:rPr>
        <w:t>Т</w:t>
      </w:r>
      <w:r w:rsidRPr="00EE7D67">
        <w:rPr>
          <w:rFonts w:ascii="Calibri" w:eastAsiaTheme="minorEastAsia" w:hAnsi="Calibri" w:cs="Arial"/>
          <w:color w:val="000000"/>
          <w:szCs w:val="21"/>
          <w:lang w:eastAsia="ru-RU"/>
        </w:rPr>
        <w:t>елемаркетинга</w:t>
      </w:r>
      <w:r w:rsidR="00E54A40">
        <w:rPr>
          <w:rFonts w:ascii="Calibri" w:eastAsiaTheme="minorEastAsia" w:hAnsi="Calibri" w:cs="Arial"/>
          <w:color w:val="000000"/>
          <w:szCs w:val="21"/>
          <w:lang w:eastAsia="ru-RU"/>
        </w:rPr>
        <w:t>.</w:t>
      </w:r>
    </w:p>
    <w:p w:rsidR="002B1581" w:rsidRPr="002B1581" w:rsidRDefault="002B1581" w:rsidP="00293CEC">
      <w:pPr>
        <w:tabs>
          <w:tab w:val="left" w:pos="567"/>
        </w:tabs>
        <w:ind w:right="-3"/>
        <w:jc w:val="both"/>
        <w:rPr>
          <w:rFonts w:ascii="Calibri" w:eastAsiaTheme="minorEastAsia" w:hAnsi="Calibri" w:cs="Arial"/>
          <w:b/>
          <w:color w:val="000000"/>
          <w:szCs w:val="21"/>
          <w:lang w:eastAsia="ru-RU"/>
        </w:rPr>
      </w:pPr>
      <w:r w:rsidRPr="002B1581">
        <w:rPr>
          <w:rFonts w:ascii="Calibri" w:eastAsiaTheme="minorEastAsia" w:hAnsi="Calibri" w:cs="Arial"/>
          <w:b/>
          <w:color w:val="000000"/>
          <w:szCs w:val="21"/>
          <w:lang w:eastAsia="ru-RU"/>
        </w:rPr>
        <w:t>Термины и определения</w:t>
      </w:r>
    </w:p>
    <w:p w:rsidR="002B1581" w:rsidRPr="002B1581" w:rsidRDefault="002B1581" w:rsidP="002B1581">
      <w:pPr>
        <w:pStyle w:val="a5"/>
        <w:tabs>
          <w:tab w:val="left" w:pos="567"/>
        </w:tabs>
        <w:ind w:right="-3"/>
        <w:rPr>
          <w:rFonts w:asciiTheme="minorHAnsi" w:hAnsiTheme="minorHAnsi" w:cstheme="minorHAnsi"/>
          <w:bCs/>
          <w:sz w:val="22"/>
          <w:szCs w:val="22"/>
        </w:rPr>
      </w:pPr>
      <w:r w:rsidRPr="002B1581">
        <w:rPr>
          <w:rFonts w:asciiTheme="minorHAnsi" w:hAnsiTheme="minorHAnsi" w:cstheme="minorHAnsi"/>
          <w:b/>
          <w:bCs/>
          <w:sz w:val="22"/>
          <w:szCs w:val="22"/>
        </w:rPr>
        <w:t>Абонент</w:t>
      </w:r>
      <w:r w:rsidRPr="002B1581">
        <w:rPr>
          <w:rFonts w:asciiTheme="minorHAnsi" w:hAnsiTheme="minorHAnsi" w:cstheme="minorHAnsi"/>
          <w:sz w:val="22"/>
          <w:szCs w:val="22"/>
        </w:rPr>
        <w:t xml:space="preserve"> – физическое лицо, являющееся клиентом Заказчика и пользующееся услугами Заказчика, или физическое лицо, являющееся потенциальным клиентом и не являющееся клиентом Заказчика, но предоставившее согласие на получение рекламной информации от Заказчика и обработку персональных данных, в отношении которого была проведена Презентация</w:t>
      </w:r>
      <w:r w:rsidRPr="002B1581">
        <w:rPr>
          <w:rFonts w:asciiTheme="minorHAnsi" w:hAnsiTheme="minorHAnsi" w:cstheme="minorHAnsi"/>
          <w:bCs/>
          <w:sz w:val="22"/>
          <w:szCs w:val="22"/>
        </w:rPr>
        <w:t xml:space="preserve">. </w:t>
      </w:r>
    </w:p>
    <w:p w:rsidR="002B1581" w:rsidRPr="002B1581" w:rsidRDefault="002B1581" w:rsidP="002B1581">
      <w:pPr>
        <w:pStyle w:val="a5"/>
        <w:tabs>
          <w:tab w:val="left" w:pos="567"/>
        </w:tabs>
        <w:ind w:right="-3"/>
        <w:rPr>
          <w:rFonts w:asciiTheme="minorHAnsi" w:hAnsiTheme="minorHAnsi" w:cstheme="minorHAnsi"/>
          <w:bCs/>
          <w:sz w:val="22"/>
          <w:szCs w:val="22"/>
        </w:rPr>
      </w:pPr>
      <w:r w:rsidRPr="002B1581">
        <w:rPr>
          <w:rFonts w:asciiTheme="minorHAnsi" w:hAnsiTheme="minorHAnsi" w:cstheme="minorHAnsi"/>
          <w:b/>
          <w:bCs/>
          <w:sz w:val="22"/>
          <w:szCs w:val="22"/>
        </w:rPr>
        <w:t>Деактивация</w:t>
      </w:r>
      <w:r w:rsidRPr="002B1581">
        <w:rPr>
          <w:rFonts w:asciiTheme="minorHAnsi" w:hAnsiTheme="minorHAnsi" w:cstheme="minorHAnsi"/>
          <w:bCs/>
          <w:sz w:val="22"/>
          <w:szCs w:val="22"/>
        </w:rPr>
        <w:t xml:space="preserve"> – распоряжение на исключение из обработки записи/списка записей из числа выгруженной ранее базы Абонентов.</w:t>
      </w:r>
    </w:p>
    <w:p w:rsidR="002B1581" w:rsidRPr="002B1581" w:rsidRDefault="002B1581" w:rsidP="002B1581">
      <w:pPr>
        <w:pStyle w:val="a5"/>
        <w:tabs>
          <w:tab w:val="left" w:pos="567"/>
        </w:tabs>
        <w:ind w:right="-3"/>
        <w:rPr>
          <w:rFonts w:asciiTheme="minorHAnsi" w:hAnsiTheme="minorHAnsi" w:cstheme="minorHAnsi"/>
          <w:bCs/>
          <w:sz w:val="22"/>
          <w:szCs w:val="22"/>
        </w:rPr>
      </w:pPr>
      <w:r w:rsidRPr="002B1581">
        <w:rPr>
          <w:rFonts w:asciiTheme="minorHAnsi" w:hAnsiTheme="minorHAnsi" w:cstheme="minorHAnsi"/>
          <w:b/>
          <w:sz w:val="22"/>
          <w:szCs w:val="22"/>
        </w:rPr>
        <w:t>Исходящий вызов</w:t>
      </w:r>
      <w:r w:rsidRPr="002B1581">
        <w:rPr>
          <w:rFonts w:asciiTheme="minorHAnsi" w:hAnsiTheme="minorHAnsi" w:cstheme="minorHAnsi"/>
          <w:sz w:val="22"/>
          <w:szCs w:val="22"/>
        </w:rPr>
        <w:t xml:space="preserve"> – действие Исполнителя по набору телефонных номеров Абонентов, установлению контакта Оператора с Абонентом, проведению презентаций предложений Заказчика (успешных и неуспешных) по предоставленной Заказчиком выгрузке с использованием Скриптов и работы с возражениями.</w:t>
      </w:r>
    </w:p>
    <w:p w:rsidR="002B1581" w:rsidRPr="002B1581" w:rsidRDefault="002B1581" w:rsidP="002B1581">
      <w:pPr>
        <w:pStyle w:val="a5"/>
        <w:tabs>
          <w:tab w:val="left" w:pos="567"/>
        </w:tabs>
        <w:ind w:right="-3"/>
        <w:rPr>
          <w:rFonts w:asciiTheme="minorHAnsi" w:hAnsiTheme="minorHAnsi" w:cstheme="minorHAnsi"/>
          <w:bCs/>
          <w:sz w:val="22"/>
          <w:szCs w:val="22"/>
        </w:rPr>
      </w:pPr>
      <w:r w:rsidRPr="002B1581">
        <w:rPr>
          <w:rFonts w:asciiTheme="minorHAnsi" w:hAnsiTheme="minorHAnsi" w:cstheme="minorHAnsi"/>
          <w:b/>
          <w:sz w:val="22"/>
          <w:szCs w:val="22"/>
        </w:rPr>
        <w:t>Оператор</w:t>
      </w:r>
      <w:r w:rsidRPr="002B1581">
        <w:rPr>
          <w:rFonts w:asciiTheme="minorHAnsi" w:hAnsiTheme="minorHAnsi" w:cstheme="minorHAnsi"/>
          <w:sz w:val="22"/>
          <w:szCs w:val="22"/>
        </w:rPr>
        <w:t xml:space="preserve"> – сотрудник Исполнителя, непосредственно осуществляющий обработку базы Абонентов, совершающий Презентации в рамках услуг Телемаркетинга.</w:t>
      </w:r>
    </w:p>
    <w:p w:rsidR="002B1581" w:rsidRPr="002B1581" w:rsidRDefault="002B1581" w:rsidP="002B1581">
      <w:pPr>
        <w:pStyle w:val="a5"/>
        <w:tabs>
          <w:tab w:val="left" w:pos="567"/>
        </w:tabs>
        <w:ind w:right="-3"/>
        <w:rPr>
          <w:rFonts w:asciiTheme="minorHAnsi" w:hAnsiTheme="minorHAnsi" w:cstheme="minorHAnsi"/>
          <w:bCs/>
          <w:sz w:val="22"/>
          <w:szCs w:val="22"/>
        </w:rPr>
      </w:pPr>
      <w:r w:rsidRPr="002B1581">
        <w:rPr>
          <w:rFonts w:asciiTheme="minorHAnsi" w:hAnsiTheme="minorHAnsi" w:cstheme="minorHAnsi"/>
          <w:b/>
          <w:sz w:val="22"/>
          <w:szCs w:val="22"/>
        </w:rPr>
        <w:t xml:space="preserve">Отчетный период </w:t>
      </w:r>
      <w:r w:rsidRPr="002B1581">
        <w:rPr>
          <w:rFonts w:asciiTheme="minorHAnsi" w:hAnsiTheme="minorHAnsi" w:cstheme="minorHAnsi"/>
          <w:sz w:val="22"/>
          <w:szCs w:val="22"/>
        </w:rPr>
        <w:t>–календарный месяц.</w:t>
      </w:r>
    </w:p>
    <w:p w:rsidR="002B1581" w:rsidRPr="002B1581" w:rsidRDefault="002B1581" w:rsidP="002B1581">
      <w:pPr>
        <w:pStyle w:val="a5"/>
        <w:tabs>
          <w:tab w:val="left" w:pos="567"/>
        </w:tabs>
        <w:ind w:right="-3"/>
        <w:rPr>
          <w:rFonts w:asciiTheme="minorHAnsi" w:hAnsiTheme="minorHAnsi" w:cstheme="minorHAnsi"/>
          <w:bCs/>
          <w:sz w:val="22"/>
          <w:szCs w:val="22"/>
        </w:rPr>
      </w:pPr>
      <w:r w:rsidRPr="002B1581">
        <w:rPr>
          <w:rFonts w:asciiTheme="minorHAnsi" w:hAnsiTheme="minorHAnsi" w:cstheme="minorHAnsi"/>
          <w:b/>
          <w:sz w:val="22"/>
          <w:szCs w:val="22"/>
        </w:rPr>
        <w:t>Скрипт</w:t>
      </w:r>
      <w:r w:rsidRPr="002B1581">
        <w:rPr>
          <w:rFonts w:asciiTheme="minorHAnsi" w:hAnsiTheme="minorHAnsi" w:cstheme="minorHAnsi"/>
          <w:sz w:val="22"/>
          <w:szCs w:val="22"/>
        </w:rPr>
        <w:t xml:space="preserve"> – сценарий диалога Оператора с Абонентом, предназначенный для повышения эффективности работы Операторов в рамках оказания услуг Телемаркетинга, содержащий текстовые блоки с параметрами предложений, данными Абонента, справочники ответов на вопросы, алгоритмы перехода между экранами в зависимости от вопросов/ответов Абонента.</w:t>
      </w:r>
    </w:p>
    <w:p w:rsidR="002B1581" w:rsidRPr="002B1581" w:rsidRDefault="002B1581" w:rsidP="002B1581">
      <w:pPr>
        <w:pStyle w:val="a5"/>
        <w:tabs>
          <w:tab w:val="left" w:pos="567"/>
        </w:tabs>
        <w:ind w:right="-3"/>
        <w:rPr>
          <w:rFonts w:asciiTheme="minorHAnsi" w:hAnsiTheme="minorHAnsi" w:cstheme="minorHAnsi"/>
          <w:bCs/>
          <w:sz w:val="22"/>
          <w:szCs w:val="22"/>
        </w:rPr>
      </w:pPr>
      <w:r w:rsidRPr="002B1581">
        <w:rPr>
          <w:rFonts w:asciiTheme="minorHAnsi" w:hAnsiTheme="minorHAnsi" w:cstheme="minorHAnsi"/>
          <w:b/>
          <w:sz w:val="22"/>
          <w:szCs w:val="22"/>
        </w:rPr>
        <w:t>Презентация</w:t>
      </w:r>
      <w:r w:rsidRPr="002B1581">
        <w:rPr>
          <w:rFonts w:asciiTheme="minorHAnsi" w:hAnsiTheme="minorHAnsi" w:cstheme="minorHAnsi"/>
          <w:sz w:val="22"/>
          <w:szCs w:val="22"/>
        </w:rPr>
        <w:t xml:space="preserve"> </w:t>
      </w:r>
      <w:r w:rsidRPr="002B1581">
        <w:rPr>
          <w:rFonts w:asciiTheme="minorHAnsi" w:hAnsiTheme="minorHAnsi" w:cstheme="minorHAnsi"/>
          <w:bCs/>
          <w:sz w:val="22"/>
          <w:szCs w:val="22"/>
        </w:rPr>
        <w:t xml:space="preserve">– </w:t>
      </w:r>
      <w:r w:rsidRPr="002B1581">
        <w:rPr>
          <w:rFonts w:asciiTheme="minorHAnsi" w:hAnsiTheme="minorHAnsi" w:cstheme="minorHAnsi"/>
          <w:sz w:val="22"/>
          <w:szCs w:val="22"/>
        </w:rPr>
        <w:t>успешный (состоявшийся) завершенный диалог с Абонентом в соответствии со Скриптом, в результате которого проведена полная презентация предложения Абоненту, зафиксирован окончательный результат диалога, проставлен финальный отклик, за исключением промежуточных откликов – распоряжений на перезвон.</w:t>
      </w:r>
    </w:p>
    <w:p w:rsidR="002B1581" w:rsidRPr="002B1581" w:rsidRDefault="002B1581" w:rsidP="002B1581">
      <w:pPr>
        <w:pStyle w:val="a5"/>
        <w:tabs>
          <w:tab w:val="left" w:pos="567"/>
        </w:tabs>
        <w:ind w:right="-3"/>
        <w:rPr>
          <w:rFonts w:asciiTheme="minorHAnsi" w:hAnsiTheme="minorHAnsi" w:cstheme="minorHAnsi"/>
          <w:bCs/>
          <w:sz w:val="22"/>
          <w:szCs w:val="22"/>
        </w:rPr>
      </w:pPr>
      <w:r w:rsidRPr="002B1581">
        <w:rPr>
          <w:rFonts w:asciiTheme="minorHAnsi" w:hAnsiTheme="minorHAnsi" w:cstheme="minorHAnsi"/>
          <w:b/>
          <w:sz w:val="22"/>
          <w:szCs w:val="22"/>
        </w:rPr>
        <w:t>Телемаркетинг</w:t>
      </w:r>
      <w:r w:rsidRPr="002B1581">
        <w:rPr>
          <w:rFonts w:asciiTheme="minorHAnsi" w:hAnsiTheme="minorHAnsi" w:cstheme="minorHAnsi"/>
          <w:sz w:val="22"/>
          <w:szCs w:val="22"/>
        </w:rPr>
        <w:t xml:space="preserve"> – совокупность действий, направленных на выявление и повышение интереса Абонентов к предложениям Заказчика путем осуществления исходящих вызовов Абонентам на основании предоставленной базы в рамках проводимых Заказчиком маркетинговых кампаний.</w:t>
      </w:r>
    </w:p>
    <w:p w:rsidR="002B1581" w:rsidRPr="002B1581" w:rsidRDefault="002B1581" w:rsidP="002B1581">
      <w:pPr>
        <w:pStyle w:val="a5"/>
        <w:tabs>
          <w:tab w:val="left" w:pos="567"/>
        </w:tabs>
        <w:ind w:right="-3"/>
        <w:rPr>
          <w:rFonts w:asciiTheme="minorHAnsi" w:hAnsiTheme="minorHAnsi" w:cstheme="minorHAnsi"/>
          <w:bCs/>
          <w:sz w:val="22"/>
          <w:szCs w:val="22"/>
        </w:rPr>
      </w:pPr>
      <w:r w:rsidRPr="002B1581">
        <w:rPr>
          <w:rFonts w:asciiTheme="minorHAnsi" w:hAnsiTheme="minorHAnsi" w:cstheme="minorHAnsi"/>
          <w:b/>
          <w:sz w:val="22"/>
          <w:szCs w:val="22"/>
        </w:rPr>
        <w:t>Эффективная презентация</w:t>
      </w:r>
      <w:r w:rsidRPr="002B1581">
        <w:rPr>
          <w:rFonts w:asciiTheme="minorHAnsi" w:hAnsiTheme="minorHAnsi" w:cstheme="minorHAnsi"/>
          <w:sz w:val="22"/>
          <w:szCs w:val="22"/>
        </w:rPr>
        <w:t xml:space="preserve"> – это Презентация предложения Абоненту, после которой в период срока действия предложения состоялось целевое действие по данному типу предложения.</w:t>
      </w:r>
    </w:p>
    <w:p w:rsidR="002B1581" w:rsidRPr="002B1581" w:rsidRDefault="002B1581" w:rsidP="00293CEC">
      <w:pPr>
        <w:tabs>
          <w:tab w:val="left" w:pos="567"/>
        </w:tabs>
        <w:ind w:right="-3"/>
        <w:jc w:val="both"/>
        <w:rPr>
          <w:rFonts w:eastAsiaTheme="minorEastAsia" w:cstheme="minorHAnsi"/>
          <w:color w:val="000000"/>
          <w:lang w:eastAsia="ru-RU"/>
        </w:rPr>
      </w:pPr>
    </w:p>
    <w:p w:rsidR="00293CEC" w:rsidRPr="005D1CD2" w:rsidRDefault="00293CEC" w:rsidP="00293CEC">
      <w:pPr>
        <w:tabs>
          <w:tab w:val="left" w:pos="567"/>
        </w:tabs>
        <w:ind w:right="-3"/>
        <w:jc w:val="both"/>
        <w:rPr>
          <w:rFonts w:ascii="Calibri" w:eastAsiaTheme="minorEastAsia" w:hAnsi="Calibri" w:cs="Arial"/>
          <w:color w:val="000000"/>
          <w:szCs w:val="21"/>
          <w:lang w:eastAsia="ru-RU"/>
        </w:rPr>
      </w:pPr>
      <w:r>
        <w:rPr>
          <w:rFonts w:ascii="Calibri" w:eastAsiaTheme="minorEastAsia" w:hAnsi="Calibri" w:cs="Arial"/>
          <w:color w:val="000000"/>
          <w:szCs w:val="21"/>
          <w:lang w:eastAsia="ru-RU"/>
        </w:rPr>
        <w:t xml:space="preserve">Результатом оказания услуг </w:t>
      </w:r>
      <w:r w:rsidR="002B1581">
        <w:rPr>
          <w:rFonts w:ascii="Calibri" w:eastAsiaTheme="minorEastAsia" w:hAnsi="Calibri" w:cs="Arial"/>
          <w:color w:val="000000"/>
          <w:szCs w:val="21"/>
          <w:lang w:eastAsia="ru-RU"/>
        </w:rPr>
        <w:t xml:space="preserve">телемаркетинга </w:t>
      </w:r>
      <w:r>
        <w:rPr>
          <w:rFonts w:ascii="Calibri" w:eastAsiaTheme="minorEastAsia" w:hAnsi="Calibri" w:cs="Arial"/>
          <w:color w:val="000000"/>
          <w:szCs w:val="21"/>
          <w:lang w:eastAsia="ru-RU"/>
        </w:rPr>
        <w:t>являются</w:t>
      </w:r>
      <w:r w:rsidRPr="005D1CD2">
        <w:rPr>
          <w:rFonts w:ascii="Calibri" w:eastAsiaTheme="minorEastAsia" w:hAnsi="Calibri" w:cs="Arial"/>
          <w:color w:val="000000"/>
          <w:szCs w:val="21"/>
          <w:lang w:eastAsia="ru-RU"/>
        </w:rPr>
        <w:t>:</w:t>
      </w:r>
    </w:p>
    <w:p w:rsidR="00293CEC" w:rsidRPr="002B1581" w:rsidRDefault="00293CEC" w:rsidP="002B1581">
      <w:pPr>
        <w:pStyle w:val="a5"/>
        <w:numPr>
          <w:ilvl w:val="0"/>
          <w:numId w:val="6"/>
        </w:numPr>
        <w:tabs>
          <w:tab w:val="left" w:pos="567"/>
        </w:tabs>
        <w:ind w:left="1281" w:hanging="357"/>
        <w:rPr>
          <w:rFonts w:ascii="Calibri" w:eastAsiaTheme="minorEastAsia" w:hAnsi="Calibri" w:cs="Arial"/>
          <w:color w:val="000000"/>
          <w:sz w:val="22"/>
          <w:szCs w:val="21"/>
        </w:rPr>
      </w:pPr>
      <w:r w:rsidRPr="002B1581">
        <w:rPr>
          <w:rFonts w:ascii="Calibri" w:eastAsiaTheme="minorEastAsia" w:hAnsi="Calibri" w:cs="Arial"/>
          <w:color w:val="000000"/>
          <w:sz w:val="22"/>
          <w:szCs w:val="21"/>
        </w:rPr>
        <w:t>Исходящие вызовы</w:t>
      </w:r>
    </w:p>
    <w:p w:rsidR="00293CEC" w:rsidRPr="002B1581" w:rsidRDefault="00293CEC" w:rsidP="002B1581">
      <w:pPr>
        <w:pStyle w:val="a5"/>
        <w:numPr>
          <w:ilvl w:val="0"/>
          <w:numId w:val="6"/>
        </w:numPr>
        <w:tabs>
          <w:tab w:val="left" w:pos="567"/>
        </w:tabs>
        <w:ind w:left="1281" w:hanging="357"/>
        <w:rPr>
          <w:rFonts w:ascii="Calibri" w:eastAsiaTheme="minorEastAsia" w:hAnsi="Calibri" w:cs="Arial"/>
          <w:color w:val="000000"/>
          <w:sz w:val="22"/>
          <w:szCs w:val="21"/>
        </w:rPr>
      </w:pPr>
      <w:r w:rsidRPr="002B1581">
        <w:rPr>
          <w:rFonts w:ascii="Calibri" w:eastAsiaTheme="minorEastAsia" w:hAnsi="Calibri" w:cs="Arial"/>
          <w:color w:val="000000"/>
          <w:sz w:val="22"/>
          <w:szCs w:val="21"/>
        </w:rPr>
        <w:t xml:space="preserve">Эффективные презентации </w:t>
      </w:r>
    </w:p>
    <w:p w:rsidR="007D09A6" w:rsidRPr="00953D65" w:rsidRDefault="00293CEC" w:rsidP="00953D65">
      <w:pPr>
        <w:pStyle w:val="a5"/>
        <w:tabs>
          <w:tab w:val="left" w:pos="567"/>
        </w:tabs>
        <w:spacing w:before="240"/>
        <w:rPr>
          <w:rFonts w:ascii="Calibri" w:eastAsiaTheme="minorEastAsia" w:hAnsi="Calibri" w:cs="Arial"/>
          <w:color w:val="000000"/>
          <w:sz w:val="22"/>
          <w:szCs w:val="21"/>
        </w:rPr>
      </w:pPr>
      <w:r>
        <w:rPr>
          <w:rFonts w:ascii="Calibri" w:eastAsiaTheme="minorEastAsia" w:hAnsi="Calibri" w:cs="Arial"/>
          <w:color w:val="000000"/>
          <w:sz w:val="22"/>
          <w:szCs w:val="21"/>
        </w:rPr>
        <w:t>Перечень типов кампаний с указанием целевых событий, которые считаются эффективной презентацией</w:t>
      </w:r>
      <w:r w:rsidR="00BC6EAD">
        <w:rPr>
          <w:rFonts w:ascii="Calibri" w:eastAsiaTheme="minorEastAsia" w:hAnsi="Calibri" w:cs="Arial"/>
          <w:color w:val="000000"/>
          <w:sz w:val="22"/>
          <w:szCs w:val="21"/>
        </w:rPr>
        <w:t>,</w:t>
      </w:r>
      <w:r>
        <w:rPr>
          <w:rFonts w:ascii="Calibri" w:eastAsiaTheme="minorEastAsia" w:hAnsi="Calibri" w:cs="Arial"/>
          <w:color w:val="000000"/>
          <w:sz w:val="22"/>
          <w:szCs w:val="21"/>
        </w:rPr>
        <w:t xml:space="preserve"> средний уровень отклика, который определяет плановое значение эффективной презентации по каждому типу кампании,</w:t>
      </w:r>
      <w:r w:rsidR="00F51BFF">
        <w:rPr>
          <w:rFonts w:ascii="Calibri" w:eastAsiaTheme="minorEastAsia" w:hAnsi="Calibri" w:cs="Arial"/>
          <w:color w:val="000000"/>
          <w:sz w:val="22"/>
          <w:szCs w:val="21"/>
        </w:rPr>
        <w:t xml:space="preserve"> а также справочный уровень обработанной базы и дозвона</w:t>
      </w:r>
      <w:r>
        <w:rPr>
          <w:rFonts w:ascii="Calibri" w:eastAsiaTheme="minorEastAsia" w:hAnsi="Calibri" w:cs="Arial"/>
          <w:color w:val="000000"/>
          <w:sz w:val="22"/>
          <w:szCs w:val="21"/>
        </w:rPr>
        <w:t xml:space="preserve"> представлен</w:t>
      </w:r>
      <w:r w:rsidR="00BC6EAD">
        <w:rPr>
          <w:rFonts w:ascii="Calibri" w:eastAsiaTheme="minorEastAsia" w:hAnsi="Calibri" w:cs="Arial"/>
          <w:color w:val="000000"/>
          <w:sz w:val="22"/>
          <w:szCs w:val="21"/>
        </w:rPr>
        <w:t>ы</w:t>
      </w:r>
      <w:r w:rsidR="004C35A9">
        <w:rPr>
          <w:rFonts w:ascii="Calibri" w:eastAsiaTheme="minorEastAsia" w:hAnsi="Calibri" w:cs="Arial"/>
          <w:color w:val="000000"/>
          <w:sz w:val="22"/>
          <w:szCs w:val="21"/>
        </w:rPr>
        <w:t xml:space="preserve"> в Таблице 1</w:t>
      </w:r>
      <w:r w:rsidR="00E54A40">
        <w:rPr>
          <w:rFonts w:ascii="Calibri" w:eastAsiaTheme="minorEastAsia" w:hAnsi="Calibri" w:cs="Arial"/>
          <w:color w:val="000000"/>
          <w:sz w:val="22"/>
          <w:szCs w:val="21"/>
        </w:rPr>
        <w:t xml:space="preserve">, в </w:t>
      </w:r>
      <w:r w:rsidR="007D09A6">
        <w:rPr>
          <w:rFonts w:ascii="Calibri" w:eastAsiaTheme="minorEastAsia" w:hAnsi="Calibri" w:cs="Arial"/>
          <w:color w:val="000000"/>
          <w:sz w:val="22"/>
          <w:szCs w:val="21"/>
        </w:rPr>
        <w:t>разделе "ПОРЯДОК РАСЧЕТОВ"</w:t>
      </w:r>
      <w:r w:rsidR="00E54A40">
        <w:rPr>
          <w:rFonts w:ascii="Calibri" w:eastAsiaTheme="minorEastAsia" w:hAnsi="Calibri" w:cs="Arial"/>
          <w:color w:val="000000"/>
          <w:sz w:val="22"/>
          <w:szCs w:val="21"/>
        </w:rPr>
        <w:t>.</w:t>
      </w:r>
    </w:p>
    <w:p w:rsidR="002B1581" w:rsidRDefault="002B1581" w:rsidP="00293CEC">
      <w:pPr>
        <w:pStyle w:val="a5"/>
        <w:tabs>
          <w:tab w:val="left" w:pos="567"/>
          <w:tab w:val="num" w:pos="709"/>
        </w:tabs>
        <w:spacing w:before="240"/>
        <w:rPr>
          <w:rFonts w:ascii="Calibri" w:eastAsiaTheme="minorEastAsia" w:hAnsi="Calibri" w:cs="Arial"/>
          <w:b/>
          <w:color w:val="000000"/>
          <w:sz w:val="22"/>
          <w:szCs w:val="21"/>
        </w:rPr>
      </w:pPr>
    </w:p>
    <w:p w:rsidR="00293CEC" w:rsidRPr="00F85808" w:rsidRDefault="00B067CB" w:rsidP="00293CEC">
      <w:pPr>
        <w:pStyle w:val="a5"/>
        <w:tabs>
          <w:tab w:val="left" w:pos="567"/>
          <w:tab w:val="num" w:pos="709"/>
        </w:tabs>
        <w:spacing w:before="240"/>
        <w:rPr>
          <w:rFonts w:ascii="Calibri" w:eastAsiaTheme="minorEastAsia" w:hAnsi="Calibri" w:cs="Arial"/>
          <w:b/>
          <w:color w:val="000000"/>
          <w:sz w:val="22"/>
          <w:szCs w:val="21"/>
        </w:rPr>
      </w:pPr>
      <w:r>
        <w:rPr>
          <w:rFonts w:ascii="Calibri" w:eastAsiaTheme="minorEastAsia" w:hAnsi="Calibri" w:cs="Arial"/>
          <w:b/>
          <w:color w:val="000000"/>
          <w:sz w:val="22"/>
          <w:szCs w:val="21"/>
        </w:rPr>
        <w:t xml:space="preserve">ОПИСАНИЕ УСЛУГ </w:t>
      </w:r>
    </w:p>
    <w:p w:rsidR="00003F6D" w:rsidRDefault="00003F6D" w:rsidP="00293CEC">
      <w:pPr>
        <w:pStyle w:val="a5"/>
        <w:tabs>
          <w:tab w:val="left" w:pos="567"/>
        </w:tabs>
        <w:spacing w:before="120"/>
        <w:rPr>
          <w:rFonts w:ascii="Calibri" w:eastAsiaTheme="minorEastAsia" w:hAnsi="Calibri" w:cs="Arial"/>
          <w:color w:val="000000"/>
          <w:sz w:val="22"/>
          <w:szCs w:val="21"/>
        </w:rPr>
      </w:pPr>
    </w:p>
    <w:p w:rsidR="00003F6D" w:rsidRPr="00003F6D" w:rsidRDefault="00003F6D" w:rsidP="00003F6D">
      <w:pPr>
        <w:pStyle w:val="a5"/>
        <w:spacing w:before="120"/>
        <w:rPr>
          <w:rFonts w:ascii="Calibri" w:eastAsiaTheme="minorEastAsia" w:hAnsi="Calibri" w:cs="Arial"/>
          <w:color w:val="000000"/>
          <w:sz w:val="22"/>
          <w:szCs w:val="21"/>
        </w:rPr>
      </w:pPr>
      <w:r w:rsidRPr="00003F6D">
        <w:rPr>
          <w:rFonts w:ascii="Calibri" w:eastAsiaTheme="minorEastAsia" w:hAnsi="Calibri" w:cs="Arial"/>
          <w:color w:val="000000"/>
          <w:sz w:val="22"/>
          <w:szCs w:val="21"/>
        </w:rPr>
        <w:lastRenderedPageBreak/>
        <w:t>Исполнитель в течение 7 (Семи) дней настраивает за свой счет защищенный информационный обмен через SFTP-сервер Исполнителя с использованием сертифицированных средств криптографической защиты информации КриптоПро CSP версии 4.0. и выше в соответствии с требованиями по защите информации, установленными Заказчиком. Прис</w:t>
      </w:r>
      <w:r>
        <w:rPr>
          <w:rFonts w:ascii="Calibri" w:eastAsiaTheme="minorEastAsia" w:hAnsi="Calibri" w:cs="Arial"/>
          <w:color w:val="000000"/>
          <w:sz w:val="22"/>
          <w:szCs w:val="21"/>
        </w:rPr>
        <w:t>ылает</w:t>
      </w:r>
      <w:r w:rsidRPr="00003F6D">
        <w:rPr>
          <w:rFonts w:ascii="Calibri" w:eastAsiaTheme="minorEastAsia" w:hAnsi="Calibri" w:cs="Arial"/>
          <w:color w:val="000000"/>
          <w:sz w:val="22"/>
          <w:szCs w:val="21"/>
        </w:rPr>
        <w:t xml:space="preserve"> Заказчику уведомление по результатам успешной настройки защищенного информационного обмена.</w:t>
      </w:r>
    </w:p>
    <w:p w:rsidR="00003F6D" w:rsidRDefault="00003F6D" w:rsidP="00003F6D">
      <w:pPr>
        <w:pStyle w:val="a5"/>
        <w:spacing w:before="120"/>
        <w:rPr>
          <w:rFonts w:ascii="Calibri" w:eastAsiaTheme="minorEastAsia" w:hAnsi="Calibri" w:cs="Arial"/>
          <w:color w:val="000000"/>
          <w:sz w:val="22"/>
          <w:szCs w:val="21"/>
        </w:rPr>
      </w:pPr>
      <w:r w:rsidRPr="00003F6D">
        <w:rPr>
          <w:rFonts w:ascii="Calibri" w:eastAsiaTheme="minorEastAsia" w:hAnsi="Calibri" w:cs="Arial"/>
          <w:color w:val="000000"/>
          <w:sz w:val="22"/>
          <w:szCs w:val="21"/>
        </w:rPr>
        <w:t>Заказчик предоставляет Исполнителю всю необходимую информацию для первичной настройки систем Исполнителя и начала оказания Услуг, включая форматы информационного обмена, Скрипты, порядок работы с возражениями в течение 3 (Трех) рабочих дней с даты получения подтверждения от Исполнителя о завершении работ по настройке защищенного информационного обмена.</w:t>
      </w:r>
    </w:p>
    <w:p w:rsidR="00003F6D" w:rsidRDefault="00003F6D" w:rsidP="00003F6D">
      <w:pPr>
        <w:pStyle w:val="a5"/>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о</w:t>
      </w:r>
      <w:r w:rsidRPr="00003F6D">
        <w:rPr>
          <w:rFonts w:ascii="Calibri" w:eastAsiaTheme="minorEastAsia" w:hAnsi="Calibri" w:cs="Arial"/>
          <w:color w:val="000000"/>
          <w:sz w:val="22"/>
          <w:szCs w:val="21"/>
        </w:rPr>
        <w:t>беспечи</w:t>
      </w:r>
      <w:r>
        <w:rPr>
          <w:rFonts w:ascii="Calibri" w:eastAsiaTheme="minorEastAsia" w:hAnsi="Calibri" w:cs="Arial"/>
          <w:color w:val="000000"/>
          <w:sz w:val="22"/>
          <w:szCs w:val="21"/>
        </w:rPr>
        <w:t>вает</w:t>
      </w:r>
      <w:r w:rsidRPr="00003F6D">
        <w:rPr>
          <w:rFonts w:ascii="Calibri" w:eastAsiaTheme="minorEastAsia" w:hAnsi="Calibri" w:cs="Arial"/>
          <w:color w:val="000000"/>
          <w:sz w:val="22"/>
          <w:szCs w:val="21"/>
        </w:rPr>
        <w:t xml:space="preserve"> первичную настройку форматов информационного обмена, Скриптов, порядка работы с возражениями в течение 5 (Пяти) рабочих дней от даты получения информации от Заказчика. Прис</w:t>
      </w:r>
      <w:r>
        <w:rPr>
          <w:rFonts w:ascii="Calibri" w:eastAsiaTheme="minorEastAsia" w:hAnsi="Calibri" w:cs="Arial"/>
          <w:color w:val="000000"/>
          <w:sz w:val="22"/>
          <w:szCs w:val="21"/>
        </w:rPr>
        <w:t>ылает</w:t>
      </w:r>
      <w:r w:rsidRPr="00003F6D">
        <w:rPr>
          <w:rFonts w:ascii="Calibri" w:eastAsiaTheme="minorEastAsia" w:hAnsi="Calibri" w:cs="Arial"/>
          <w:color w:val="000000"/>
          <w:sz w:val="22"/>
          <w:szCs w:val="21"/>
        </w:rPr>
        <w:t xml:space="preserve"> Заказчику уведомление по результатам успешной настройки форматов информационного обмена, Скриптов и порядка работы с возражениями</w:t>
      </w:r>
    </w:p>
    <w:p w:rsidR="00003F6D" w:rsidRDefault="00003F6D" w:rsidP="00003F6D">
      <w:pPr>
        <w:pStyle w:val="a5"/>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 xml:space="preserve">Заказчик передает </w:t>
      </w:r>
      <w:r w:rsidRPr="00003F6D">
        <w:rPr>
          <w:rFonts w:ascii="Calibri" w:eastAsiaTheme="minorEastAsia" w:hAnsi="Calibri" w:cs="Arial"/>
          <w:color w:val="000000"/>
          <w:sz w:val="22"/>
          <w:szCs w:val="21"/>
        </w:rPr>
        <w:t>Исполнителю выгрузку данных Абонентов для оказания Услуг в согласованном формате не позднее 3 (Трех) рабочих дней после получения от Исполнителя уведомления об успешной настройке форматов информационного обмена, Скриптов и порядка работы с возражениями.</w:t>
      </w:r>
    </w:p>
    <w:p w:rsidR="004F6C4D" w:rsidRDefault="004F6C4D" w:rsidP="004F6C4D">
      <w:pPr>
        <w:pStyle w:val="a5"/>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 xml:space="preserve">Исполнитель приступает </w:t>
      </w:r>
      <w:r w:rsidRPr="004F6C4D">
        <w:rPr>
          <w:rFonts w:ascii="Calibri" w:eastAsiaTheme="minorEastAsia" w:hAnsi="Calibri" w:cs="Arial"/>
          <w:color w:val="000000"/>
          <w:sz w:val="22"/>
          <w:szCs w:val="21"/>
        </w:rPr>
        <w:t>к оказанию Услуг не позднее 1 (Одного) рабочего дня с даты получения от Заказчика первичной выгрузки базы Абонентов.</w:t>
      </w:r>
    </w:p>
    <w:p w:rsidR="004F6C4D" w:rsidRPr="0056537A" w:rsidRDefault="004F6C4D" w:rsidP="0056537A">
      <w:pPr>
        <w:pStyle w:val="a5"/>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 с</w:t>
      </w:r>
      <w:r w:rsidRPr="004F6C4D">
        <w:rPr>
          <w:rFonts w:ascii="Calibri" w:eastAsiaTheme="minorEastAsia" w:hAnsi="Calibri" w:cs="Arial"/>
          <w:color w:val="000000"/>
          <w:sz w:val="22"/>
          <w:szCs w:val="21"/>
        </w:rPr>
        <w:t>облюдать Регламент в части порядка и последовательности действий Заказчика</w:t>
      </w:r>
      <w:r w:rsidR="0056537A">
        <w:rPr>
          <w:rFonts w:ascii="Calibri" w:eastAsiaTheme="minorEastAsia" w:hAnsi="Calibri" w:cs="Arial"/>
          <w:color w:val="000000"/>
          <w:sz w:val="22"/>
          <w:szCs w:val="21"/>
        </w:rPr>
        <w:t>, о</w:t>
      </w:r>
      <w:r w:rsidRPr="0056537A">
        <w:rPr>
          <w:rFonts w:ascii="Calibri" w:eastAsiaTheme="minorEastAsia" w:hAnsi="Calibri" w:cs="Arial"/>
          <w:color w:val="000000"/>
          <w:sz w:val="22"/>
          <w:szCs w:val="21"/>
        </w:rPr>
        <w:t>беспечить ежедневную, бесперебойную обработку базы Абонентов, формирование и отправку результатов проведения Презентаций в соответствии с Регламентом</w:t>
      </w:r>
      <w:r w:rsidR="0056537A">
        <w:rPr>
          <w:rFonts w:ascii="Calibri" w:eastAsiaTheme="minorEastAsia" w:hAnsi="Calibri" w:cs="Arial"/>
          <w:color w:val="000000"/>
          <w:sz w:val="22"/>
          <w:szCs w:val="21"/>
        </w:rPr>
        <w:t>.</w:t>
      </w:r>
    </w:p>
    <w:p w:rsidR="004F6C4D" w:rsidRPr="0056537A" w:rsidRDefault="0056537A" w:rsidP="0056537A">
      <w:pPr>
        <w:pStyle w:val="a5"/>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 о</w:t>
      </w:r>
      <w:r w:rsidR="004F6C4D" w:rsidRPr="0056537A">
        <w:rPr>
          <w:rFonts w:ascii="Calibri" w:eastAsiaTheme="minorEastAsia" w:hAnsi="Calibri" w:cs="Arial"/>
          <w:color w:val="000000"/>
          <w:sz w:val="22"/>
          <w:szCs w:val="21"/>
        </w:rPr>
        <w:t xml:space="preserve">беспечить конфиденциальность и безопасность данных Абонентов, полученных от Заказчика. </w:t>
      </w:r>
    </w:p>
    <w:p w:rsidR="004F6C4D" w:rsidRPr="0056537A" w:rsidRDefault="0056537A" w:rsidP="0056537A">
      <w:pPr>
        <w:pStyle w:val="a5"/>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 о</w:t>
      </w:r>
      <w:r w:rsidR="004F6C4D" w:rsidRPr="0056537A">
        <w:rPr>
          <w:rFonts w:ascii="Calibri" w:eastAsiaTheme="minorEastAsia" w:hAnsi="Calibri" w:cs="Arial"/>
          <w:color w:val="000000"/>
          <w:sz w:val="22"/>
          <w:szCs w:val="21"/>
        </w:rPr>
        <w:t xml:space="preserve">существить Исходящие вызовы по всему объему данных Абонентов, выгруженных и не деактивированных Заказчиком, в сроки, указанные Заказчиком, в течение всего времени </w:t>
      </w:r>
      <w:r>
        <w:rPr>
          <w:rFonts w:ascii="Calibri" w:eastAsiaTheme="minorEastAsia" w:hAnsi="Calibri" w:cs="Arial"/>
          <w:color w:val="000000"/>
          <w:sz w:val="22"/>
          <w:szCs w:val="21"/>
        </w:rPr>
        <w:t>оказания Услуг</w:t>
      </w:r>
      <w:r w:rsidR="004F6C4D" w:rsidRPr="0056537A">
        <w:rPr>
          <w:rFonts w:ascii="Calibri" w:eastAsiaTheme="minorEastAsia" w:hAnsi="Calibri" w:cs="Arial"/>
          <w:color w:val="000000"/>
          <w:sz w:val="22"/>
          <w:szCs w:val="21"/>
        </w:rPr>
        <w:t>.</w:t>
      </w:r>
    </w:p>
    <w:p w:rsidR="004F6C4D" w:rsidRPr="0056537A" w:rsidRDefault="0056537A" w:rsidP="0056537A">
      <w:pPr>
        <w:pStyle w:val="a5"/>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w:t>
      </w:r>
      <w:r w:rsidR="004F6C4D" w:rsidRPr="002257AA">
        <w:t xml:space="preserve"> </w:t>
      </w:r>
      <w:r>
        <w:rPr>
          <w:rFonts w:ascii="Calibri" w:eastAsiaTheme="minorEastAsia" w:hAnsi="Calibri" w:cs="Arial"/>
          <w:color w:val="000000"/>
          <w:sz w:val="22"/>
          <w:szCs w:val="21"/>
        </w:rPr>
        <w:t>о</w:t>
      </w:r>
      <w:r w:rsidR="004F6C4D" w:rsidRPr="0056537A">
        <w:rPr>
          <w:rFonts w:ascii="Calibri" w:eastAsiaTheme="minorEastAsia" w:hAnsi="Calibri" w:cs="Arial"/>
          <w:color w:val="000000"/>
          <w:sz w:val="22"/>
          <w:szCs w:val="21"/>
        </w:rPr>
        <w:t>существлять общение с Абонентами в вежливой и корректной форме. В частности, не допускать использование в общении с Абонентами ненормативной (нецензурной) лексики, не провоцировать конфликтные ситуации и ссоры, не оскорблять и не унижать Абонентов.</w:t>
      </w:r>
    </w:p>
    <w:p w:rsidR="004F6C4D" w:rsidRDefault="0056537A" w:rsidP="0056537A">
      <w:pPr>
        <w:pStyle w:val="a5"/>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 п</w:t>
      </w:r>
      <w:r w:rsidR="004F6C4D" w:rsidRPr="0056537A">
        <w:rPr>
          <w:rFonts w:ascii="Calibri" w:eastAsiaTheme="minorEastAsia" w:hAnsi="Calibri" w:cs="Arial"/>
          <w:color w:val="000000"/>
          <w:sz w:val="22"/>
          <w:szCs w:val="21"/>
        </w:rPr>
        <w:t>роизводить информирование Абонентов об условиях предложений и параметрах продуктов Заказчика в соответствии с параметрами предложений и материалами, полученными от Заказчика.</w:t>
      </w:r>
    </w:p>
    <w:p w:rsidR="004F6C4D" w:rsidRPr="0056537A" w:rsidRDefault="0056537A" w:rsidP="0056537A">
      <w:pPr>
        <w:pStyle w:val="a5"/>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 о</w:t>
      </w:r>
      <w:r w:rsidR="004F6C4D" w:rsidRPr="0056537A">
        <w:rPr>
          <w:rFonts w:ascii="Calibri" w:eastAsiaTheme="minorEastAsia" w:hAnsi="Calibri" w:cs="Arial"/>
          <w:color w:val="000000"/>
          <w:sz w:val="22"/>
          <w:szCs w:val="21"/>
        </w:rPr>
        <w:t>существлять аудиозапись всех Презентаций, осуществляемых в рамках оказания Услуг и предоставлять указанные аудиозаписи Заказчику на основании запроса, направленного на электронную почту Исполнителя _____________________________________, в сроки, установленные в запросе. Аудиозаписи предоставляются Заказчику по электронной почте Заказчика __________________________________в формате WAV или MP3.</w:t>
      </w:r>
    </w:p>
    <w:p w:rsidR="004F6C4D" w:rsidRPr="0056537A" w:rsidRDefault="0056537A" w:rsidP="0056537A">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 о</w:t>
      </w:r>
      <w:r w:rsidR="004F6C4D" w:rsidRPr="0056537A">
        <w:rPr>
          <w:rFonts w:ascii="Calibri" w:eastAsiaTheme="minorEastAsia" w:hAnsi="Calibri" w:cs="Arial"/>
          <w:color w:val="000000"/>
          <w:sz w:val="22"/>
          <w:szCs w:val="21"/>
        </w:rPr>
        <w:t xml:space="preserve">существлять облачное хранение аудиозаписей всех Презентаций Абонентам с предоставлением доступа Заказчику под его учетной записью    </w:t>
      </w:r>
    </w:p>
    <w:p w:rsidR="004F6C4D" w:rsidRPr="0056537A" w:rsidRDefault="0056537A" w:rsidP="0056537A">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 и</w:t>
      </w:r>
      <w:r w:rsidR="004F6C4D" w:rsidRPr="0056537A">
        <w:rPr>
          <w:rFonts w:ascii="Calibri" w:eastAsiaTheme="minorEastAsia" w:hAnsi="Calibri" w:cs="Arial"/>
          <w:color w:val="000000"/>
          <w:sz w:val="22"/>
          <w:szCs w:val="21"/>
        </w:rPr>
        <w:t>нформировать Заказчика о необходимости внесения изменений в Скрипты, если такие изменения по мнению Исполнителя требуются для качественного оказания Услуг.</w:t>
      </w:r>
    </w:p>
    <w:p w:rsidR="004F6C4D" w:rsidRPr="004F6C4D" w:rsidRDefault="004F6C4D" w:rsidP="004F6C4D">
      <w:pPr>
        <w:pStyle w:val="a5"/>
        <w:tabs>
          <w:tab w:val="num" w:pos="0"/>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Заказчик</w:t>
      </w:r>
      <w:r w:rsidR="0056537A">
        <w:rPr>
          <w:rFonts w:ascii="Calibri" w:eastAsiaTheme="minorEastAsia" w:hAnsi="Calibri" w:cs="Arial"/>
          <w:color w:val="000000"/>
          <w:sz w:val="22"/>
          <w:szCs w:val="21"/>
        </w:rPr>
        <w:t xml:space="preserve"> может ув</w:t>
      </w:r>
      <w:r>
        <w:rPr>
          <w:rFonts w:ascii="Calibri" w:eastAsiaTheme="minorEastAsia" w:hAnsi="Calibri" w:cs="Arial"/>
          <w:color w:val="000000"/>
          <w:sz w:val="22"/>
          <w:szCs w:val="21"/>
        </w:rPr>
        <w:t>едомля</w:t>
      </w:r>
      <w:r w:rsidR="0056537A">
        <w:rPr>
          <w:rFonts w:ascii="Calibri" w:eastAsiaTheme="minorEastAsia" w:hAnsi="Calibri" w:cs="Arial"/>
          <w:color w:val="000000"/>
          <w:sz w:val="22"/>
          <w:szCs w:val="21"/>
        </w:rPr>
        <w:t>ть</w:t>
      </w:r>
      <w:r>
        <w:rPr>
          <w:rFonts w:ascii="Calibri" w:eastAsiaTheme="minorEastAsia" w:hAnsi="Calibri" w:cs="Arial"/>
          <w:color w:val="000000"/>
          <w:sz w:val="22"/>
          <w:szCs w:val="21"/>
        </w:rPr>
        <w:t xml:space="preserve"> </w:t>
      </w:r>
      <w:r w:rsidRPr="004F6C4D">
        <w:rPr>
          <w:rFonts w:ascii="Calibri" w:eastAsiaTheme="minorEastAsia" w:hAnsi="Calibri" w:cs="Arial"/>
          <w:color w:val="000000"/>
          <w:sz w:val="22"/>
          <w:szCs w:val="21"/>
        </w:rPr>
        <w:t>Исполнителя по электронной почте о необходимости внесения изменений в Скрипты и в форматы информационного обмена не менее, чем за 5 (Пять) рабочих дней до вступления таких изменений в действие.</w:t>
      </w:r>
    </w:p>
    <w:p w:rsidR="004F6C4D" w:rsidRPr="004F6C4D" w:rsidRDefault="004F6C4D" w:rsidP="004F6C4D">
      <w:pPr>
        <w:pStyle w:val="a5"/>
        <w:tabs>
          <w:tab w:val="num" w:pos="0"/>
          <w:tab w:val="num" w:pos="851"/>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п</w:t>
      </w:r>
      <w:r w:rsidRPr="004F6C4D">
        <w:rPr>
          <w:rFonts w:ascii="Calibri" w:eastAsiaTheme="minorEastAsia" w:hAnsi="Calibri" w:cs="Arial"/>
          <w:color w:val="000000"/>
          <w:sz w:val="22"/>
          <w:szCs w:val="21"/>
        </w:rPr>
        <w:t>о требованию Заказчика</w:t>
      </w:r>
      <w:r>
        <w:rPr>
          <w:rFonts w:ascii="Calibri" w:eastAsiaTheme="minorEastAsia" w:hAnsi="Calibri" w:cs="Arial"/>
          <w:color w:val="000000"/>
          <w:sz w:val="22"/>
          <w:szCs w:val="21"/>
        </w:rPr>
        <w:t xml:space="preserve"> должен</w:t>
      </w:r>
      <w:r w:rsidRPr="004F6C4D">
        <w:rPr>
          <w:rFonts w:ascii="Calibri" w:eastAsiaTheme="minorEastAsia" w:hAnsi="Calibri" w:cs="Arial"/>
          <w:color w:val="000000"/>
          <w:sz w:val="22"/>
          <w:szCs w:val="21"/>
        </w:rPr>
        <w:t xml:space="preserve"> вносить изменения в Скрипты с Абонентами и форматы информационного обмена не позднее 5 (Пяти) дней с даты получения информации о необходимости внесения изменений от Заказчика.</w:t>
      </w:r>
    </w:p>
    <w:p w:rsidR="0056537A" w:rsidRPr="0056537A" w:rsidRDefault="0056537A" w:rsidP="0056537A">
      <w:pPr>
        <w:pStyle w:val="a5"/>
        <w:tabs>
          <w:tab w:val="left" w:pos="567"/>
        </w:tabs>
        <w:spacing w:before="120"/>
        <w:rPr>
          <w:rFonts w:ascii="Calibri" w:eastAsiaTheme="minorEastAsia" w:hAnsi="Calibri" w:cs="Arial"/>
          <w:color w:val="000000"/>
          <w:sz w:val="22"/>
          <w:szCs w:val="21"/>
        </w:rPr>
      </w:pPr>
      <w:r w:rsidRPr="0056537A">
        <w:rPr>
          <w:rFonts w:ascii="Calibri" w:eastAsiaTheme="minorEastAsia" w:hAnsi="Calibri" w:cs="Arial"/>
          <w:color w:val="000000"/>
          <w:sz w:val="22"/>
          <w:szCs w:val="21"/>
        </w:rPr>
        <w:lastRenderedPageBreak/>
        <w:t xml:space="preserve">В случае если по техническим причинам оказание Услуг Исполнителем стало невозможно, незамедлительно (не позднее 1 (Одного) часа с момента возникновения невозможности оказания Услуг) в письменной форме уведомить об этом Заказчика. Также Исполнитель обязуется предоставить Заказчику информацию о причинах невозможности оказания Услуг и предполагаемых сроках возобновления оказания Услуг. </w:t>
      </w:r>
    </w:p>
    <w:p w:rsidR="0056537A" w:rsidRPr="0056537A" w:rsidRDefault="0056537A" w:rsidP="0056537A">
      <w:pPr>
        <w:pStyle w:val="a5"/>
        <w:tabs>
          <w:tab w:val="left" w:pos="567"/>
        </w:tabs>
        <w:spacing w:before="120"/>
        <w:rPr>
          <w:rFonts w:ascii="Calibri" w:eastAsiaTheme="minorEastAsia" w:hAnsi="Calibri" w:cs="Arial"/>
          <w:color w:val="000000"/>
          <w:sz w:val="22"/>
          <w:szCs w:val="21"/>
        </w:rPr>
      </w:pPr>
      <w:r w:rsidRPr="0056537A">
        <w:rPr>
          <w:rFonts w:ascii="Calibri" w:eastAsiaTheme="minorEastAsia" w:hAnsi="Calibri" w:cs="Arial"/>
          <w:color w:val="000000"/>
          <w:sz w:val="22"/>
          <w:szCs w:val="21"/>
        </w:rPr>
        <w:t>В случае проведения Исполнителем профилактических и иных работ, которые могут повлиять на предоставление Услуг, предупредить Заказчика о факте и сроках проведения данных работ не позднее, чем за 3 (Три) рабочих дня до их начала. Профилактические и иные работы не могут быть более 3 (Трех) рабочих дней. В случае если продолжительность профилактических и иных работ превышает 3 (Трех) рабочих дней</w:t>
      </w:r>
      <w:r w:rsidRPr="0056537A" w:rsidDel="00876209">
        <w:rPr>
          <w:rFonts w:ascii="Calibri" w:eastAsiaTheme="minorEastAsia" w:hAnsi="Calibri" w:cs="Arial"/>
          <w:color w:val="000000"/>
          <w:sz w:val="22"/>
          <w:szCs w:val="21"/>
        </w:rPr>
        <w:t xml:space="preserve"> </w:t>
      </w:r>
      <w:r w:rsidRPr="0056537A">
        <w:rPr>
          <w:rFonts w:ascii="Calibri" w:eastAsiaTheme="minorEastAsia" w:hAnsi="Calibri" w:cs="Arial"/>
          <w:color w:val="000000"/>
          <w:sz w:val="22"/>
          <w:szCs w:val="21"/>
        </w:rPr>
        <w:t>Исполнитель должен наладить оказание Услуг на другой площадке Исполнителя.</w:t>
      </w:r>
    </w:p>
    <w:p w:rsidR="0056537A" w:rsidRDefault="0056537A" w:rsidP="004F6C4D">
      <w:pPr>
        <w:pStyle w:val="a5"/>
        <w:tabs>
          <w:tab w:val="left" w:pos="567"/>
        </w:tabs>
        <w:spacing w:before="120"/>
        <w:rPr>
          <w:rFonts w:ascii="Calibri" w:eastAsiaTheme="minorEastAsia" w:hAnsi="Calibri" w:cs="Arial"/>
          <w:color w:val="000000"/>
          <w:sz w:val="22"/>
          <w:szCs w:val="21"/>
        </w:rPr>
      </w:pPr>
    </w:p>
    <w:p w:rsidR="004F6C4D" w:rsidRPr="004F6C4D" w:rsidRDefault="004F6C4D" w:rsidP="004F6C4D">
      <w:pPr>
        <w:pStyle w:val="a5"/>
        <w:tabs>
          <w:tab w:val="left" w:pos="567"/>
        </w:tabs>
        <w:spacing w:before="120"/>
        <w:rPr>
          <w:rFonts w:ascii="Calibri" w:eastAsiaTheme="minorEastAsia" w:hAnsi="Calibri" w:cs="Arial"/>
          <w:color w:val="000000"/>
          <w:sz w:val="22"/>
          <w:szCs w:val="21"/>
        </w:rPr>
      </w:pPr>
      <w:r w:rsidRPr="004F6C4D">
        <w:rPr>
          <w:rFonts w:ascii="Calibri" w:eastAsiaTheme="minorEastAsia" w:hAnsi="Calibri" w:cs="Arial"/>
          <w:color w:val="000000"/>
          <w:sz w:val="22"/>
          <w:szCs w:val="21"/>
        </w:rPr>
        <w:t>Заказчик имеет право:</w:t>
      </w:r>
    </w:p>
    <w:p w:rsidR="004F6C4D" w:rsidRPr="004F6C4D" w:rsidRDefault="004F6C4D" w:rsidP="004F6C4D">
      <w:pPr>
        <w:pStyle w:val="a5"/>
        <w:numPr>
          <w:ilvl w:val="0"/>
          <w:numId w:val="8"/>
        </w:numPr>
        <w:spacing w:before="120"/>
        <w:rPr>
          <w:rFonts w:ascii="Calibri" w:eastAsiaTheme="minorEastAsia" w:hAnsi="Calibri" w:cs="Arial"/>
          <w:color w:val="000000"/>
          <w:sz w:val="22"/>
          <w:szCs w:val="21"/>
        </w:rPr>
      </w:pPr>
      <w:r w:rsidRPr="004F6C4D">
        <w:rPr>
          <w:rFonts w:ascii="Calibri" w:eastAsiaTheme="minorEastAsia" w:hAnsi="Calibri" w:cs="Arial"/>
          <w:color w:val="000000"/>
          <w:sz w:val="22"/>
          <w:szCs w:val="21"/>
        </w:rPr>
        <w:t xml:space="preserve">Инициировать разовое или регулярное (системное) изменение Регламента, согласовав эти изменения с Исполнителем не менее чем за 1 (Один) день до вступления таких изменений в действие. </w:t>
      </w:r>
    </w:p>
    <w:p w:rsidR="004F6C4D" w:rsidRDefault="004F6C4D" w:rsidP="004F6C4D">
      <w:pPr>
        <w:pStyle w:val="a5"/>
        <w:numPr>
          <w:ilvl w:val="0"/>
          <w:numId w:val="8"/>
        </w:numPr>
        <w:spacing w:before="120"/>
        <w:rPr>
          <w:rFonts w:ascii="Calibri" w:eastAsiaTheme="minorEastAsia" w:hAnsi="Calibri" w:cs="Arial"/>
          <w:color w:val="000000"/>
          <w:sz w:val="22"/>
          <w:szCs w:val="21"/>
        </w:rPr>
      </w:pPr>
      <w:r w:rsidRPr="004F6C4D">
        <w:rPr>
          <w:rFonts w:ascii="Calibri" w:eastAsiaTheme="minorEastAsia" w:hAnsi="Calibri" w:cs="Arial"/>
          <w:color w:val="000000"/>
          <w:sz w:val="22"/>
          <w:szCs w:val="21"/>
        </w:rPr>
        <w:t>Вносить изменения в сформированную и переданную ранее выгруженную базу, уведомив при этом Исполнителя не менее чем за 1 (Один) день до вступления таких изменений в действие, в случае возникновения законодательных, юридических или технологических изменений, влияющих на оказание Услуг</w:t>
      </w:r>
    </w:p>
    <w:p w:rsidR="004F6C4D" w:rsidRPr="004F6C4D" w:rsidRDefault="004F6C4D" w:rsidP="004F6C4D">
      <w:pPr>
        <w:pStyle w:val="a5"/>
        <w:numPr>
          <w:ilvl w:val="0"/>
          <w:numId w:val="8"/>
        </w:numPr>
        <w:spacing w:before="120"/>
        <w:rPr>
          <w:rFonts w:ascii="Calibri" w:eastAsiaTheme="minorEastAsia" w:hAnsi="Calibri" w:cs="Arial"/>
          <w:color w:val="000000"/>
          <w:sz w:val="22"/>
          <w:szCs w:val="21"/>
        </w:rPr>
      </w:pPr>
      <w:r w:rsidRPr="004F6C4D">
        <w:rPr>
          <w:rFonts w:ascii="Calibri" w:eastAsiaTheme="minorEastAsia" w:hAnsi="Calibri" w:cs="Arial"/>
          <w:color w:val="000000"/>
          <w:sz w:val="22"/>
          <w:szCs w:val="21"/>
        </w:rPr>
        <w:t>Требовать от Исполнителя качественного оказания Услуг. Под критериями оценки качества понимаются:</w:t>
      </w:r>
    </w:p>
    <w:p w:rsidR="004F6C4D" w:rsidRPr="004F6C4D" w:rsidRDefault="004F6C4D" w:rsidP="004F6C4D">
      <w:pPr>
        <w:pStyle w:val="a5"/>
        <w:numPr>
          <w:ilvl w:val="0"/>
          <w:numId w:val="7"/>
        </w:numPr>
        <w:tabs>
          <w:tab w:val="left" w:pos="709"/>
        </w:tabs>
        <w:spacing w:before="120"/>
        <w:ind w:left="964" w:hanging="284"/>
        <w:rPr>
          <w:rFonts w:ascii="Calibri" w:eastAsiaTheme="minorEastAsia" w:hAnsi="Calibri" w:cs="Arial"/>
          <w:color w:val="000000"/>
          <w:sz w:val="22"/>
          <w:szCs w:val="21"/>
        </w:rPr>
      </w:pPr>
      <w:r w:rsidRPr="004F6C4D">
        <w:rPr>
          <w:rFonts w:ascii="Calibri" w:eastAsiaTheme="minorEastAsia" w:hAnsi="Calibri" w:cs="Arial"/>
          <w:color w:val="000000"/>
          <w:sz w:val="22"/>
          <w:szCs w:val="21"/>
        </w:rPr>
        <w:t>отсутствие технологических сбоев и фактов нарушения Регламента в течение Отчетного периода;</w:t>
      </w:r>
    </w:p>
    <w:p w:rsidR="004F6C4D" w:rsidRPr="004F6C4D" w:rsidRDefault="004F6C4D" w:rsidP="004F6C4D">
      <w:pPr>
        <w:pStyle w:val="a5"/>
        <w:numPr>
          <w:ilvl w:val="0"/>
          <w:numId w:val="7"/>
        </w:numPr>
        <w:tabs>
          <w:tab w:val="left" w:pos="709"/>
        </w:tabs>
        <w:spacing w:before="120"/>
        <w:ind w:left="964" w:hanging="284"/>
        <w:rPr>
          <w:rFonts w:ascii="Calibri" w:eastAsiaTheme="minorEastAsia" w:hAnsi="Calibri" w:cs="Arial"/>
          <w:color w:val="000000"/>
          <w:sz w:val="22"/>
          <w:szCs w:val="21"/>
        </w:rPr>
      </w:pPr>
      <w:r w:rsidRPr="004F6C4D">
        <w:rPr>
          <w:rFonts w:ascii="Calibri" w:eastAsiaTheme="minorEastAsia" w:hAnsi="Calibri" w:cs="Arial"/>
          <w:color w:val="000000"/>
          <w:sz w:val="22"/>
          <w:szCs w:val="21"/>
        </w:rPr>
        <w:t>отсутствие жалоб Абонентов на качество диалога и некорректную презентацию продуктов/услуг Заказчика;</w:t>
      </w:r>
    </w:p>
    <w:p w:rsidR="004F6C4D" w:rsidRPr="004F6C4D" w:rsidRDefault="004F6C4D" w:rsidP="004F6C4D">
      <w:pPr>
        <w:pStyle w:val="a5"/>
        <w:numPr>
          <w:ilvl w:val="0"/>
          <w:numId w:val="7"/>
        </w:numPr>
        <w:tabs>
          <w:tab w:val="left" w:pos="709"/>
        </w:tabs>
        <w:spacing w:before="120"/>
        <w:ind w:left="964" w:hanging="284"/>
        <w:rPr>
          <w:rFonts w:ascii="Calibri" w:eastAsiaTheme="minorEastAsia" w:hAnsi="Calibri" w:cs="Arial"/>
          <w:color w:val="000000"/>
          <w:sz w:val="22"/>
          <w:szCs w:val="21"/>
        </w:rPr>
      </w:pPr>
      <w:r w:rsidRPr="004F6C4D">
        <w:rPr>
          <w:rFonts w:ascii="Calibri" w:eastAsiaTheme="minorEastAsia" w:hAnsi="Calibri" w:cs="Arial"/>
          <w:color w:val="000000"/>
          <w:sz w:val="22"/>
          <w:szCs w:val="21"/>
        </w:rPr>
        <w:t>отсутствие нарушений в работе со скриптами и отработке возражений.</w:t>
      </w:r>
    </w:p>
    <w:p w:rsidR="004F6C4D" w:rsidRPr="004F6C4D" w:rsidRDefault="004F6C4D" w:rsidP="004F6C4D">
      <w:pPr>
        <w:pStyle w:val="a5"/>
        <w:numPr>
          <w:ilvl w:val="0"/>
          <w:numId w:val="8"/>
        </w:numPr>
        <w:spacing w:before="120"/>
        <w:rPr>
          <w:rFonts w:ascii="Calibri" w:eastAsiaTheme="minorEastAsia" w:hAnsi="Calibri" w:cs="Arial"/>
          <w:color w:val="000000"/>
          <w:sz w:val="22"/>
          <w:szCs w:val="21"/>
        </w:rPr>
      </w:pPr>
      <w:r w:rsidRPr="004F6C4D">
        <w:rPr>
          <w:rFonts w:ascii="Calibri" w:eastAsiaTheme="minorEastAsia" w:hAnsi="Calibri" w:cs="Arial"/>
          <w:color w:val="000000"/>
          <w:sz w:val="22"/>
          <w:szCs w:val="21"/>
        </w:rPr>
        <w:t xml:space="preserve">Производить дистанционный выборочный контроль качества оказания Услуг путем прослушивания звонков, производить оценку качества работы Операторов, полноту и корректность предоставляемой Абонентам информации о параметрах предложений, качество отработки возражений, осуществлять выездные проверки на площадки Исполнителя.  </w:t>
      </w:r>
    </w:p>
    <w:p w:rsidR="0056537A" w:rsidRDefault="004F6C4D" w:rsidP="004F6C4D">
      <w:pPr>
        <w:pStyle w:val="a5"/>
        <w:numPr>
          <w:ilvl w:val="0"/>
          <w:numId w:val="8"/>
        </w:numPr>
        <w:spacing w:before="120"/>
        <w:rPr>
          <w:rFonts w:ascii="Calibri" w:eastAsiaTheme="minorEastAsia" w:hAnsi="Calibri" w:cs="Arial"/>
          <w:color w:val="000000"/>
          <w:sz w:val="22"/>
          <w:szCs w:val="21"/>
        </w:rPr>
      </w:pPr>
      <w:r w:rsidRPr="004F6C4D">
        <w:rPr>
          <w:rFonts w:ascii="Calibri" w:eastAsiaTheme="minorEastAsia" w:hAnsi="Calibri" w:cs="Arial"/>
          <w:color w:val="000000"/>
          <w:sz w:val="22"/>
          <w:szCs w:val="21"/>
        </w:rPr>
        <w:t>Требовать замену и выделение дополнительных ресурсов на площадке Исполнителя в случае выявления недостаточности ресурсов или отсутствия квалификации Операторов Исполнителя</w:t>
      </w:r>
      <w:r w:rsidR="0056537A">
        <w:rPr>
          <w:rFonts w:ascii="Calibri" w:eastAsiaTheme="minorEastAsia" w:hAnsi="Calibri" w:cs="Arial"/>
          <w:color w:val="000000"/>
          <w:sz w:val="22"/>
          <w:szCs w:val="21"/>
        </w:rPr>
        <w:t>.</w:t>
      </w:r>
    </w:p>
    <w:p w:rsidR="004F6C4D" w:rsidRPr="004F6C4D" w:rsidRDefault="0056537A" w:rsidP="004F6C4D">
      <w:pPr>
        <w:pStyle w:val="a5"/>
        <w:numPr>
          <w:ilvl w:val="0"/>
          <w:numId w:val="8"/>
        </w:numPr>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w:t>
      </w:r>
      <w:r w:rsidR="004F6C4D" w:rsidRPr="004F6C4D">
        <w:rPr>
          <w:rFonts w:ascii="Calibri" w:eastAsiaTheme="minorEastAsia" w:hAnsi="Calibri" w:cs="Arial"/>
          <w:color w:val="000000"/>
          <w:sz w:val="22"/>
          <w:szCs w:val="21"/>
        </w:rPr>
        <w:t>нициировать проведение обучения и аттестации Операторов Исполнителя за счет Исполнителя.</w:t>
      </w:r>
    </w:p>
    <w:p w:rsidR="0056537A" w:rsidRDefault="0056537A" w:rsidP="0056537A">
      <w:pPr>
        <w:pStyle w:val="a5"/>
        <w:tabs>
          <w:tab w:val="left" w:pos="567"/>
        </w:tabs>
        <w:spacing w:before="120"/>
        <w:rPr>
          <w:rFonts w:ascii="Calibri" w:eastAsiaTheme="minorEastAsia" w:hAnsi="Calibri" w:cs="Arial"/>
          <w:color w:val="000000"/>
          <w:sz w:val="22"/>
          <w:szCs w:val="21"/>
        </w:rPr>
      </w:pPr>
    </w:p>
    <w:p w:rsidR="0056537A" w:rsidRPr="004F6C4D" w:rsidRDefault="0056537A" w:rsidP="0056537A">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w:t>
      </w:r>
      <w:r w:rsidRPr="004F6C4D">
        <w:rPr>
          <w:rFonts w:ascii="Calibri" w:eastAsiaTheme="minorEastAsia" w:hAnsi="Calibri" w:cs="Arial"/>
          <w:color w:val="000000"/>
          <w:sz w:val="22"/>
          <w:szCs w:val="21"/>
        </w:rPr>
        <w:t xml:space="preserve"> имеет право:</w:t>
      </w:r>
    </w:p>
    <w:p w:rsidR="004F6C4D" w:rsidRPr="0056537A" w:rsidRDefault="004F6C4D" w:rsidP="0056537A">
      <w:pPr>
        <w:pStyle w:val="a5"/>
        <w:numPr>
          <w:ilvl w:val="0"/>
          <w:numId w:val="8"/>
        </w:numPr>
        <w:spacing w:before="120"/>
        <w:rPr>
          <w:rFonts w:ascii="Calibri" w:eastAsiaTheme="minorEastAsia" w:hAnsi="Calibri" w:cs="Arial"/>
          <w:color w:val="000000"/>
          <w:sz w:val="22"/>
          <w:szCs w:val="21"/>
        </w:rPr>
      </w:pPr>
      <w:r w:rsidRPr="0056537A">
        <w:rPr>
          <w:rFonts w:ascii="Calibri" w:eastAsiaTheme="minorEastAsia" w:hAnsi="Calibri" w:cs="Arial"/>
          <w:color w:val="000000"/>
          <w:sz w:val="22"/>
          <w:szCs w:val="21"/>
        </w:rPr>
        <w:t xml:space="preserve">Инициировать разовое или регулярное (системное) изменение Регламента, согласовав эти изменения с Заказчиком не менее чем за 1 (Один) день до вступления таких изменений в действие. </w:t>
      </w:r>
    </w:p>
    <w:p w:rsidR="004F6C4D" w:rsidRPr="0056537A" w:rsidRDefault="004F6C4D" w:rsidP="0056537A">
      <w:pPr>
        <w:pStyle w:val="a5"/>
        <w:numPr>
          <w:ilvl w:val="0"/>
          <w:numId w:val="8"/>
        </w:numPr>
        <w:spacing w:before="120"/>
        <w:rPr>
          <w:rFonts w:ascii="Calibri" w:eastAsiaTheme="minorEastAsia" w:hAnsi="Calibri" w:cs="Arial"/>
          <w:color w:val="000000"/>
          <w:sz w:val="22"/>
          <w:szCs w:val="21"/>
        </w:rPr>
      </w:pPr>
      <w:r w:rsidRPr="0056537A">
        <w:rPr>
          <w:rFonts w:ascii="Calibri" w:eastAsiaTheme="minorEastAsia" w:hAnsi="Calibri" w:cs="Arial"/>
          <w:color w:val="000000"/>
          <w:sz w:val="22"/>
          <w:szCs w:val="21"/>
        </w:rPr>
        <w:t>Отказать в предоставлении Услуг или приостановить (полностью или частично) предоставление Услуг, если возникли обстоятельства, при которых:</w:t>
      </w:r>
    </w:p>
    <w:p w:rsidR="004F6C4D" w:rsidRPr="0056537A" w:rsidRDefault="004F6C4D" w:rsidP="0056537A">
      <w:pPr>
        <w:pStyle w:val="a5"/>
        <w:numPr>
          <w:ilvl w:val="0"/>
          <w:numId w:val="7"/>
        </w:numPr>
        <w:tabs>
          <w:tab w:val="left" w:pos="709"/>
        </w:tabs>
        <w:spacing w:before="120"/>
        <w:ind w:left="964" w:hanging="284"/>
        <w:rPr>
          <w:rFonts w:ascii="Calibri" w:eastAsiaTheme="minorEastAsia" w:hAnsi="Calibri" w:cs="Arial"/>
          <w:color w:val="000000"/>
          <w:sz w:val="22"/>
          <w:szCs w:val="21"/>
        </w:rPr>
      </w:pPr>
      <w:r w:rsidRPr="0056537A">
        <w:rPr>
          <w:rFonts w:ascii="Calibri" w:eastAsiaTheme="minorEastAsia" w:hAnsi="Calibri" w:cs="Arial"/>
          <w:color w:val="000000"/>
          <w:sz w:val="22"/>
          <w:szCs w:val="21"/>
        </w:rPr>
        <w:t>предоставление Услуг может создать угрозу безопасности и обороноспособности государства, здоровью и безопасности людей;</w:t>
      </w:r>
    </w:p>
    <w:p w:rsidR="004F6C4D" w:rsidRPr="0056537A" w:rsidRDefault="004F6C4D" w:rsidP="0056537A">
      <w:pPr>
        <w:pStyle w:val="a5"/>
        <w:numPr>
          <w:ilvl w:val="0"/>
          <w:numId w:val="7"/>
        </w:numPr>
        <w:tabs>
          <w:tab w:val="left" w:pos="709"/>
        </w:tabs>
        <w:spacing w:before="120"/>
        <w:ind w:left="964" w:hanging="284"/>
        <w:rPr>
          <w:rFonts w:ascii="Calibri" w:eastAsiaTheme="minorEastAsia" w:hAnsi="Calibri" w:cs="Arial"/>
          <w:color w:val="000000"/>
          <w:sz w:val="22"/>
          <w:szCs w:val="21"/>
        </w:rPr>
      </w:pPr>
      <w:r w:rsidRPr="0056537A">
        <w:rPr>
          <w:rFonts w:ascii="Calibri" w:eastAsiaTheme="minorEastAsia" w:hAnsi="Calibri" w:cs="Arial"/>
          <w:color w:val="000000"/>
          <w:sz w:val="22"/>
          <w:szCs w:val="21"/>
        </w:rPr>
        <w:t>Заказчиком просрочена оплата Услуг за два и более Отчетных периода.</w:t>
      </w:r>
    </w:p>
    <w:p w:rsidR="004F6C4D" w:rsidRPr="0056537A" w:rsidRDefault="004F6C4D" w:rsidP="004F6C4D">
      <w:pPr>
        <w:pStyle w:val="a5"/>
        <w:tabs>
          <w:tab w:val="left" w:pos="567"/>
        </w:tabs>
        <w:spacing w:line="240" w:lineRule="atLeast"/>
        <w:rPr>
          <w:rFonts w:ascii="Calibri" w:eastAsiaTheme="minorEastAsia" w:hAnsi="Calibri" w:cs="Arial"/>
          <w:color w:val="000000"/>
          <w:sz w:val="22"/>
          <w:szCs w:val="21"/>
        </w:rPr>
      </w:pPr>
      <w:r w:rsidRPr="0056537A">
        <w:rPr>
          <w:rFonts w:ascii="Calibri" w:eastAsiaTheme="minorEastAsia" w:hAnsi="Calibri" w:cs="Arial"/>
          <w:color w:val="000000"/>
          <w:sz w:val="22"/>
          <w:szCs w:val="21"/>
        </w:rPr>
        <w:t>Отказ в каждом конкретном случае должен быть оформлен письменно и обоснован.</w:t>
      </w:r>
    </w:p>
    <w:p w:rsidR="004F6C4D" w:rsidRPr="0056537A" w:rsidRDefault="004F6C4D" w:rsidP="0056537A">
      <w:pPr>
        <w:pStyle w:val="a5"/>
        <w:spacing w:before="120"/>
        <w:rPr>
          <w:rFonts w:ascii="Calibri" w:eastAsiaTheme="minorEastAsia" w:hAnsi="Calibri" w:cs="Arial"/>
          <w:color w:val="000000"/>
          <w:sz w:val="22"/>
          <w:szCs w:val="21"/>
        </w:rPr>
      </w:pPr>
      <w:r w:rsidRPr="0056537A">
        <w:rPr>
          <w:rFonts w:ascii="Calibri" w:eastAsiaTheme="minorEastAsia" w:hAnsi="Calibri" w:cs="Arial"/>
          <w:color w:val="000000"/>
          <w:sz w:val="22"/>
          <w:szCs w:val="21"/>
        </w:rPr>
        <w:lastRenderedPageBreak/>
        <w:t>Исполнитель не имеет право привлекать третьих лиц для оказания Услуг.</w:t>
      </w:r>
    </w:p>
    <w:p w:rsidR="00293CEC" w:rsidRPr="007D09A6" w:rsidRDefault="00293CEC" w:rsidP="007D09A6">
      <w:pPr>
        <w:pStyle w:val="a5"/>
        <w:tabs>
          <w:tab w:val="left" w:pos="567"/>
          <w:tab w:val="num" w:pos="709"/>
        </w:tabs>
        <w:spacing w:before="240"/>
        <w:rPr>
          <w:rFonts w:ascii="Calibri" w:eastAsiaTheme="minorEastAsia" w:hAnsi="Calibri" w:cs="Arial"/>
          <w:b/>
          <w:color w:val="000000"/>
          <w:sz w:val="22"/>
          <w:szCs w:val="21"/>
        </w:rPr>
      </w:pPr>
      <w:r w:rsidRPr="007D09A6">
        <w:rPr>
          <w:rFonts w:ascii="Calibri" w:eastAsiaTheme="minorEastAsia" w:hAnsi="Calibri" w:cs="Arial"/>
          <w:b/>
          <w:color w:val="000000"/>
          <w:sz w:val="22"/>
          <w:szCs w:val="21"/>
        </w:rPr>
        <w:t xml:space="preserve">ПОРЯДОК РАСЧЕТОВ </w:t>
      </w:r>
    </w:p>
    <w:p w:rsidR="007D09A6" w:rsidRDefault="007D09A6" w:rsidP="007D09A6">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 xml:space="preserve">Расчет вознаграждения Исполнителя </w:t>
      </w:r>
      <w:r w:rsidRPr="00EE7D67">
        <w:rPr>
          <w:rFonts w:ascii="Calibri" w:eastAsiaTheme="minorEastAsia" w:hAnsi="Calibri" w:cs="Arial"/>
          <w:color w:val="000000"/>
          <w:sz w:val="22"/>
          <w:szCs w:val="21"/>
        </w:rPr>
        <w:t xml:space="preserve">осуществляются в соответствии с </w:t>
      </w:r>
      <w:r w:rsidR="00EA7FAF">
        <w:rPr>
          <w:rFonts w:ascii="Calibri" w:eastAsiaTheme="minorEastAsia" w:hAnsi="Calibri" w:cs="Arial"/>
          <w:color w:val="000000"/>
          <w:sz w:val="22"/>
          <w:szCs w:val="21"/>
        </w:rPr>
        <w:tab/>
      </w:r>
      <w:r>
        <w:rPr>
          <w:rFonts w:ascii="Calibri" w:eastAsiaTheme="minorEastAsia" w:hAnsi="Calibri" w:cs="Arial"/>
          <w:color w:val="000000"/>
          <w:sz w:val="22"/>
          <w:szCs w:val="21"/>
        </w:rPr>
        <w:t>данными отчетов</w:t>
      </w:r>
      <w:r w:rsidR="005D507A">
        <w:rPr>
          <w:rFonts w:ascii="Calibri" w:eastAsiaTheme="minorEastAsia" w:hAnsi="Calibri" w:cs="Arial"/>
          <w:color w:val="000000"/>
          <w:sz w:val="22"/>
          <w:szCs w:val="21"/>
        </w:rPr>
        <w:t xml:space="preserve"> об оказанных услугах (далее Отчет)</w:t>
      </w:r>
      <w:r>
        <w:rPr>
          <w:rFonts w:ascii="Calibri" w:eastAsiaTheme="minorEastAsia" w:hAnsi="Calibri" w:cs="Arial"/>
          <w:color w:val="000000"/>
          <w:sz w:val="22"/>
          <w:szCs w:val="21"/>
        </w:rPr>
        <w:t xml:space="preserve">, формируемых Заказчиком и направляемых на еженедельной и ежемесячной </w:t>
      </w:r>
      <w:r w:rsidRPr="0048451C">
        <w:rPr>
          <w:rFonts w:ascii="Calibri" w:eastAsiaTheme="minorEastAsia" w:hAnsi="Calibri" w:cs="Arial"/>
          <w:color w:val="000000"/>
          <w:sz w:val="22"/>
          <w:szCs w:val="21"/>
        </w:rPr>
        <w:t>основе Исполнител</w:t>
      </w:r>
      <w:r w:rsidR="0081717A" w:rsidRPr="0048451C">
        <w:rPr>
          <w:rFonts w:ascii="Calibri" w:eastAsiaTheme="minorEastAsia" w:hAnsi="Calibri" w:cs="Arial"/>
          <w:color w:val="000000"/>
          <w:sz w:val="22"/>
          <w:szCs w:val="21"/>
        </w:rPr>
        <w:t>ю</w:t>
      </w:r>
      <w:r w:rsidRPr="0048451C">
        <w:rPr>
          <w:rFonts w:ascii="Calibri" w:eastAsiaTheme="minorEastAsia" w:hAnsi="Calibri" w:cs="Arial"/>
          <w:color w:val="000000"/>
          <w:sz w:val="22"/>
          <w:szCs w:val="21"/>
        </w:rPr>
        <w:t>.</w:t>
      </w:r>
      <w:r>
        <w:rPr>
          <w:rFonts w:ascii="Calibri" w:eastAsiaTheme="minorEastAsia" w:hAnsi="Calibri" w:cs="Arial"/>
          <w:color w:val="000000"/>
          <w:sz w:val="22"/>
          <w:szCs w:val="21"/>
        </w:rPr>
        <w:t xml:space="preserve"> </w:t>
      </w:r>
    </w:p>
    <w:p w:rsidR="002C3453" w:rsidRDefault="002C3453" w:rsidP="002C3453">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 п</w:t>
      </w:r>
      <w:r w:rsidRPr="0056537A">
        <w:rPr>
          <w:rFonts w:ascii="Calibri" w:eastAsiaTheme="minorEastAsia" w:hAnsi="Calibri" w:cs="Arial"/>
          <w:color w:val="000000"/>
          <w:sz w:val="22"/>
          <w:szCs w:val="21"/>
        </w:rPr>
        <w:t xml:space="preserve">роизводить проверку еженедельных отчетов по телемаркетингу, формируемых и направляемых Заказчиком на электронную почту Исполнителя, в течение 2 (Двух) рабочих дней с даты получения отчета. </w:t>
      </w:r>
    </w:p>
    <w:p w:rsidR="002C3453" w:rsidRDefault="002C3453" w:rsidP="002C3453">
      <w:pPr>
        <w:pStyle w:val="a5"/>
        <w:tabs>
          <w:tab w:val="left" w:pos="567"/>
        </w:tabs>
        <w:spacing w:before="120"/>
        <w:rPr>
          <w:rFonts w:ascii="Calibri" w:eastAsiaTheme="minorEastAsia" w:hAnsi="Calibri" w:cs="Arial"/>
          <w:color w:val="000000"/>
          <w:sz w:val="22"/>
          <w:szCs w:val="21"/>
        </w:rPr>
      </w:pPr>
      <w:r w:rsidRPr="0056537A">
        <w:rPr>
          <w:rFonts w:ascii="Calibri" w:eastAsiaTheme="minorEastAsia" w:hAnsi="Calibri" w:cs="Arial"/>
          <w:color w:val="000000"/>
          <w:sz w:val="22"/>
          <w:szCs w:val="21"/>
        </w:rPr>
        <w:t>В случае наличия замечаний к содержанию или показателям отчета направлять замечания в письменном виде в течение 2 (Двух) рабочих дней с даты получения отчета. В случае отсутствия замечаний со стороны Исполнителя отчеты считаются согласованными автоматически, и на их основе готовится ежемесячный отчет по эффективности оказания Услуг.</w:t>
      </w:r>
    </w:p>
    <w:p w:rsidR="002C3453" w:rsidRPr="0056537A" w:rsidRDefault="002C3453" w:rsidP="002C3453">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должен н</w:t>
      </w:r>
      <w:r w:rsidRPr="0056537A">
        <w:rPr>
          <w:rFonts w:ascii="Calibri" w:eastAsiaTheme="minorEastAsia" w:hAnsi="Calibri" w:cs="Arial"/>
          <w:color w:val="000000"/>
          <w:sz w:val="22"/>
          <w:szCs w:val="21"/>
        </w:rPr>
        <w:t>е позднее 10 (Десяти) рабочих дней с даты окончания Отчетного периода, предоставлять Заказчику акт, счет и отчет по форме</w:t>
      </w:r>
      <w:r>
        <w:rPr>
          <w:rFonts w:ascii="Calibri" w:eastAsiaTheme="minorEastAsia" w:hAnsi="Calibri" w:cs="Arial"/>
          <w:color w:val="000000"/>
          <w:sz w:val="22"/>
          <w:szCs w:val="21"/>
        </w:rPr>
        <w:t>.</w:t>
      </w:r>
    </w:p>
    <w:p w:rsidR="0056537A" w:rsidRPr="0056537A" w:rsidRDefault="0056537A" w:rsidP="0056537A">
      <w:pPr>
        <w:pStyle w:val="a5"/>
        <w:tabs>
          <w:tab w:val="left" w:pos="567"/>
        </w:tabs>
        <w:spacing w:before="120"/>
        <w:rPr>
          <w:rFonts w:ascii="Calibri" w:eastAsiaTheme="minorEastAsia" w:hAnsi="Calibri" w:cs="Arial"/>
          <w:color w:val="000000"/>
          <w:sz w:val="22"/>
          <w:szCs w:val="21"/>
        </w:rPr>
      </w:pPr>
      <w:r w:rsidRPr="0056537A">
        <w:rPr>
          <w:rFonts w:ascii="Calibri" w:eastAsiaTheme="minorEastAsia" w:hAnsi="Calibri" w:cs="Arial"/>
          <w:color w:val="000000"/>
          <w:sz w:val="22"/>
          <w:szCs w:val="21"/>
        </w:rPr>
        <w:t>Заказчик в течение 5 (Пяти) рабочих дней рассматривает Отчет об оказанных услугах Исполнителя. При отсутствии замечаний по Отчету об оказанных услугах Заказчик подписывает Акт. Если Заказчик имеет замечания по Отчету об оказанных услугах, то он должен в течение 5 (Пяти) рабочих дней после его получения выставить Исполнителю претензию в письменной форме. Исполнитель после рассмотрения замечаний в течение 5 (Пяти) рабочих дней исправляет замечания и повторно направляет Заказчику скорректированный Отчет об оказанных услугах и Акт, приемка которых производится в порядке, предусмотренном настоящим пунктом.</w:t>
      </w:r>
    </w:p>
    <w:p w:rsidR="0056537A" w:rsidRPr="0056537A" w:rsidRDefault="0056537A" w:rsidP="0056537A">
      <w:pPr>
        <w:pStyle w:val="a5"/>
        <w:tabs>
          <w:tab w:val="left" w:pos="567"/>
        </w:tabs>
        <w:spacing w:before="120"/>
        <w:rPr>
          <w:rFonts w:ascii="Calibri" w:eastAsiaTheme="minorEastAsia" w:hAnsi="Calibri" w:cs="Arial"/>
          <w:color w:val="000000"/>
          <w:sz w:val="22"/>
          <w:szCs w:val="21"/>
        </w:rPr>
      </w:pPr>
      <w:r w:rsidRPr="0056537A">
        <w:rPr>
          <w:rFonts w:ascii="Calibri" w:eastAsiaTheme="minorEastAsia" w:hAnsi="Calibri" w:cs="Arial"/>
          <w:color w:val="000000"/>
          <w:sz w:val="22"/>
          <w:szCs w:val="21"/>
        </w:rPr>
        <w:t>Заказчик выплачивает Исполнителю причитающуюся ему сумму путём перечисления ее на расчетный счет Исполнителя в течение 10 (Десяти) рабочих дней с даты подписания Акта.</w:t>
      </w:r>
    </w:p>
    <w:p w:rsidR="0056537A" w:rsidRPr="0056537A" w:rsidRDefault="0056537A" w:rsidP="0056537A">
      <w:pPr>
        <w:pStyle w:val="a5"/>
        <w:tabs>
          <w:tab w:val="left" w:pos="567"/>
        </w:tabs>
        <w:spacing w:before="120"/>
        <w:rPr>
          <w:rFonts w:ascii="Calibri" w:eastAsiaTheme="minorEastAsia" w:hAnsi="Calibri" w:cs="Arial"/>
          <w:color w:val="000000"/>
          <w:sz w:val="22"/>
          <w:szCs w:val="21"/>
        </w:rPr>
      </w:pPr>
      <w:r w:rsidRPr="0056537A">
        <w:rPr>
          <w:rFonts w:ascii="Calibri" w:eastAsiaTheme="minorEastAsia" w:hAnsi="Calibri" w:cs="Arial"/>
          <w:color w:val="000000"/>
          <w:sz w:val="22"/>
          <w:szCs w:val="21"/>
        </w:rPr>
        <w:t>Датой исполнения обязательств Заказчика по оплате считается дата списания денежных средств со счета Заказчика.</w:t>
      </w:r>
    </w:p>
    <w:p w:rsidR="00506208" w:rsidRDefault="00506208" w:rsidP="007D09A6">
      <w:pPr>
        <w:pStyle w:val="a5"/>
        <w:tabs>
          <w:tab w:val="left" w:pos="567"/>
        </w:tabs>
        <w:spacing w:before="240"/>
        <w:rPr>
          <w:rFonts w:ascii="Calibri" w:eastAsiaTheme="minorEastAsia" w:hAnsi="Calibri" w:cs="Arial"/>
          <w:b/>
          <w:color w:val="000000"/>
          <w:sz w:val="22"/>
          <w:szCs w:val="21"/>
        </w:rPr>
      </w:pPr>
      <w:r w:rsidRPr="002E0788">
        <w:rPr>
          <w:rFonts w:ascii="Calibri" w:eastAsiaTheme="minorEastAsia" w:hAnsi="Calibri" w:cs="Arial"/>
          <w:b/>
          <w:color w:val="000000"/>
          <w:sz w:val="22"/>
          <w:szCs w:val="21"/>
        </w:rPr>
        <w:t>Таблица 1.</w:t>
      </w:r>
    </w:p>
    <w:p w:rsidR="001B5D7D" w:rsidRPr="00DC0841" w:rsidRDefault="00DC0841" w:rsidP="0088701D">
      <w:pPr>
        <w:pStyle w:val="a5"/>
        <w:tabs>
          <w:tab w:val="left" w:pos="567"/>
        </w:tabs>
        <w:rPr>
          <w:rFonts w:ascii="Calibri" w:eastAsiaTheme="minorEastAsia" w:hAnsi="Calibri" w:cs="Arial"/>
          <w:b/>
          <w:color w:val="000000"/>
          <w:sz w:val="22"/>
          <w:szCs w:val="21"/>
        </w:rPr>
      </w:pPr>
      <w:r w:rsidRPr="00DC0841">
        <w:rPr>
          <w:rFonts w:ascii="Calibri" w:eastAsiaTheme="minorEastAsia" w:hAnsi="Calibri" w:cs="Arial"/>
          <w:b/>
          <w:color w:val="000000"/>
          <w:sz w:val="22"/>
          <w:szCs w:val="21"/>
        </w:rPr>
        <w:t>Средние з</w:t>
      </w:r>
      <w:r w:rsidR="007D09A6" w:rsidRPr="00DC0841">
        <w:rPr>
          <w:rFonts w:ascii="Calibri" w:eastAsiaTheme="minorEastAsia" w:hAnsi="Calibri" w:cs="Arial"/>
          <w:b/>
          <w:color w:val="000000"/>
          <w:sz w:val="22"/>
          <w:szCs w:val="21"/>
        </w:rPr>
        <w:t xml:space="preserve">начения основных показателей эффективности </w:t>
      </w:r>
      <w:r w:rsidR="00506208" w:rsidRPr="00DC0841">
        <w:rPr>
          <w:rFonts w:ascii="Calibri" w:eastAsiaTheme="minorEastAsia" w:hAnsi="Calibri" w:cs="Arial"/>
          <w:b/>
          <w:color w:val="000000"/>
          <w:sz w:val="22"/>
          <w:szCs w:val="21"/>
        </w:rPr>
        <w:t>телемаркетинга</w:t>
      </w:r>
      <w:r w:rsidR="007D09A6" w:rsidRPr="00DC0841">
        <w:rPr>
          <w:rFonts w:ascii="Calibri" w:eastAsiaTheme="minorEastAsia" w:hAnsi="Calibri" w:cs="Arial"/>
          <w:b/>
          <w:color w:val="000000"/>
          <w:sz w:val="22"/>
          <w:szCs w:val="21"/>
        </w:rPr>
        <w:t xml:space="preserve"> </w:t>
      </w:r>
      <w:r w:rsidR="00506208" w:rsidRPr="00DC0841">
        <w:rPr>
          <w:rFonts w:ascii="Calibri" w:eastAsiaTheme="minorEastAsia" w:hAnsi="Calibri" w:cs="Arial"/>
          <w:b/>
          <w:color w:val="000000"/>
          <w:sz w:val="22"/>
          <w:szCs w:val="21"/>
        </w:rPr>
        <w:t xml:space="preserve">за 2018 г. </w:t>
      </w:r>
    </w:p>
    <w:p w:rsidR="006F7E62" w:rsidRDefault="00506208" w:rsidP="0088701D">
      <w:pPr>
        <w:pStyle w:val="a5"/>
        <w:tabs>
          <w:tab w:val="left" w:pos="567"/>
        </w:tabs>
        <w:rPr>
          <w:rFonts w:ascii="Calibri" w:eastAsiaTheme="minorEastAsia" w:hAnsi="Calibri" w:cs="Arial"/>
          <w:color w:val="000000"/>
          <w:sz w:val="22"/>
          <w:szCs w:val="21"/>
        </w:rPr>
      </w:pPr>
      <w:r w:rsidRPr="00506208">
        <w:rPr>
          <w:rFonts w:ascii="Calibri" w:eastAsiaTheme="minorEastAsia" w:hAnsi="Calibri" w:cs="Arial"/>
          <w:color w:val="000000"/>
          <w:sz w:val="22"/>
          <w:szCs w:val="21"/>
        </w:rPr>
        <w:t>(Справочная информация предоставляется для целей расчета тарифа участниками)</w:t>
      </w:r>
    </w:p>
    <w:p w:rsidR="001B5D7D" w:rsidRDefault="001B5D7D" w:rsidP="0088701D">
      <w:pPr>
        <w:pStyle w:val="a5"/>
        <w:tabs>
          <w:tab w:val="left" w:pos="567"/>
        </w:tabs>
        <w:rPr>
          <w:rFonts w:ascii="Calibri" w:eastAsiaTheme="minorEastAsia" w:hAnsi="Calibri" w:cs="Arial"/>
          <w:color w:val="000000"/>
          <w:sz w:val="22"/>
          <w:szCs w:val="21"/>
        </w:rPr>
      </w:pPr>
    </w:p>
    <w:tbl>
      <w:tblPr>
        <w:tblW w:w="5000" w:type="pct"/>
        <w:tblLayout w:type="fixed"/>
        <w:tblLook w:val="04A0" w:firstRow="1" w:lastRow="0" w:firstColumn="1" w:lastColumn="0" w:noHBand="0" w:noVBand="1"/>
      </w:tblPr>
      <w:tblGrid>
        <w:gridCol w:w="663"/>
        <w:gridCol w:w="1854"/>
        <w:gridCol w:w="25"/>
        <w:gridCol w:w="2137"/>
        <w:gridCol w:w="1208"/>
        <w:gridCol w:w="1179"/>
        <w:gridCol w:w="1351"/>
        <w:gridCol w:w="1343"/>
      </w:tblGrid>
      <w:tr w:rsidR="002B1581" w:rsidRPr="006F7E62" w:rsidTr="002B1581">
        <w:trPr>
          <w:trHeight w:val="627"/>
        </w:trPr>
        <w:tc>
          <w:tcPr>
            <w:tcW w:w="3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1581" w:rsidRPr="002B1581" w:rsidRDefault="002B1581" w:rsidP="002B1581">
            <w:pPr>
              <w:spacing w:after="0" w:line="240" w:lineRule="auto"/>
              <w:rPr>
                <w:rFonts w:ascii="Calibri" w:eastAsia="Times New Roman" w:hAnsi="Calibri" w:cs="Calibri"/>
                <w:b/>
                <w:bCs/>
                <w:color w:val="000000"/>
                <w:sz w:val="20"/>
                <w:szCs w:val="20"/>
                <w:lang w:eastAsia="ru-RU"/>
              </w:rPr>
            </w:pPr>
            <w:r w:rsidRPr="002B1581">
              <w:rPr>
                <w:rFonts w:ascii="Calibri" w:eastAsia="Times New Roman" w:hAnsi="Calibri" w:cs="Calibri"/>
                <w:b/>
                <w:bCs/>
                <w:color w:val="000000"/>
                <w:sz w:val="20"/>
                <w:szCs w:val="20"/>
                <w:lang w:eastAsia="ru-RU"/>
              </w:rPr>
              <w:t>№ кампании</w:t>
            </w:r>
          </w:p>
        </w:tc>
        <w:tc>
          <w:tcPr>
            <w:tcW w:w="963" w:type="pct"/>
            <w:gridSpan w:val="2"/>
            <w:tcBorders>
              <w:top w:val="single" w:sz="8" w:space="0" w:color="auto"/>
              <w:left w:val="nil"/>
              <w:bottom w:val="single" w:sz="8" w:space="0" w:color="auto"/>
              <w:right w:val="single" w:sz="8" w:space="0" w:color="auto"/>
            </w:tcBorders>
            <w:shd w:val="clear" w:color="auto" w:fill="auto"/>
            <w:vAlign w:val="center"/>
            <w:hideMark/>
          </w:tcPr>
          <w:p w:rsidR="002B1581" w:rsidRPr="002B1581" w:rsidRDefault="002B1581" w:rsidP="002B1581">
            <w:pPr>
              <w:spacing w:after="0" w:line="240" w:lineRule="auto"/>
              <w:rPr>
                <w:rFonts w:ascii="Calibri" w:eastAsia="Times New Roman" w:hAnsi="Calibri" w:cs="Calibri"/>
                <w:b/>
                <w:bCs/>
                <w:color w:val="000000"/>
                <w:sz w:val="20"/>
                <w:szCs w:val="20"/>
                <w:lang w:eastAsia="ru-RU"/>
              </w:rPr>
            </w:pPr>
            <w:r w:rsidRPr="002B1581">
              <w:rPr>
                <w:rFonts w:ascii="Calibri" w:eastAsia="Times New Roman" w:hAnsi="Calibri" w:cs="Calibri"/>
                <w:b/>
                <w:bCs/>
                <w:color w:val="000000"/>
                <w:sz w:val="20"/>
                <w:szCs w:val="20"/>
                <w:lang w:eastAsia="ru-RU"/>
              </w:rPr>
              <w:t>Тип кампании</w:t>
            </w:r>
          </w:p>
        </w:tc>
        <w:tc>
          <w:tcPr>
            <w:tcW w:w="1095" w:type="pct"/>
            <w:tcBorders>
              <w:top w:val="single" w:sz="8" w:space="0" w:color="auto"/>
              <w:left w:val="nil"/>
              <w:bottom w:val="single" w:sz="8" w:space="0" w:color="auto"/>
              <w:right w:val="single" w:sz="8" w:space="0" w:color="auto"/>
            </w:tcBorders>
            <w:shd w:val="clear" w:color="auto" w:fill="auto"/>
            <w:vAlign w:val="center"/>
            <w:hideMark/>
          </w:tcPr>
          <w:p w:rsidR="002B1581" w:rsidRPr="002B1581" w:rsidRDefault="002B1581" w:rsidP="002B1581">
            <w:pPr>
              <w:spacing w:after="0" w:line="240" w:lineRule="auto"/>
              <w:rPr>
                <w:rFonts w:ascii="Calibri" w:eastAsia="Times New Roman" w:hAnsi="Calibri" w:cs="Calibri"/>
                <w:b/>
                <w:bCs/>
                <w:color w:val="000000"/>
                <w:sz w:val="20"/>
                <w:szCs w:val="20"/>
                <w:lang w:eastAsia="ru-RU"/>
              </w:rPr>
            </w:pPr>
            <w:r w:rsidRPr="002B1581">
              <w:rPr>
                <w:rFonts w:ascii="Calibri" w:eastAsia="Times New Roman" w:hAnsi="Calibri" w:cs="Calibri"/>
                <w:b/>
                <w:bCs/>
                <w:color w:val="000000"/>
                <w:sz w:val="20"/>
                <w:szCs w:val="20"/>
                <w:lang w:eastAsia="ru-RU"/>
              </w:rPr>
              <w:t>Целевое событие для расчета эффективной презентации</w:t>
            </w:r>
          </w:p>
        </w:tc>
        <w:tc>
          <w:tcPr>
            <w:tcW w:w="619" w:type="pct"/>
            <w:tcBorders>
              <w:top w:val="single" w:sz="8" w:space="0" w:color="auto"/>
              <w:left w:val="nil"/>
              <w:bottom w:val="single" w:sz="8" w:space="0" w:color="auto"/>
              <w:right w:val="single" w:sz="8" w:space="0" w:color="auto"/>
            </w:tcBorders>
            <w:shd w:val="clear" w:color="auto" w:fill="auto"/>
            <w:hideMark/>
          </w:tcPr>
          <w:p w:rsidR="002B1581" w:rsidRPr="002B1581" w:rsidRDefault="002B1581" w:rsidP="002B1581">
            <w:pPr>
              <w:tabs>
                <w:tab w:val="left" w:pos="851"/>
              </w:tabs>
              <w:jc w:val="center"/>
              <w:rPr>
                <w:rFonts w:ascii="Times New Roman" w:hAnsi="Times New Roman" w:cs="Times New Roman"/>
                <w:b/>
                <w:sz w:val="20"/>
                <w:szCs w:val="20"/>
              </w:rPr>
            </w:pPr>
            <w:r w:rsidRPr="002B1581">
              <w:rPr>
                <w:rFonts w:cstheme="minorHAnsi"/>
                <w:b/>
                <w:sz w:val="20"/>
                <w:szCs w:val="20"/>
                <w:lang w:eastAsia="ru-RU"/>
              </w:rPr>
              <w:t>Доля обработанной базы каждого типа кампании</w:t>
            </w:r>
            <w:r>
              <w:rPr>
                <w:rFonts w:cstheme="minorHAnsi"/>
                <w:b/>
                <w:sz w:val="20"/>
                <w:szCs w:val="20"/>
                <w:lang w:eastAsia="ru-RU"/>
              </w:rPr>
              <w:t xml:space="preserve"> </w:t>
            </w:r>
          </w:p>
        </w:tc>
        <w:tc>
          <w:tcPr>
            <w:tcW w:w="604" w:type="pct"/>
            <w:tcBorders>
              <w:top w:val="single" w:sz="8" w:space="0" w:color="auto"/>
              <w:left w:val="nil"/>
              <w:bottom w:val="single" w:sz="8" w:space="0" w:color="auto"/>
              <w:right w:val="single" w:sz="8" w:space="0" w:color="auto"/>
            </w:tcBorders>
            <w:shd w:val="clear" w:color="auto" w:fill="auto"/>
            <w:hideMark/>
          </w:tcPr>
          <w:p w:rsidR="002B1581" w:rsidRPr="002B1581" w:rsidRDefault="002B1581" w:rsidP="002B1581">
            <w:pPr>
              <w:tabs>
                <w:tab w:val="left" w:pos="851"/>
              </w:tabs>
              <w:jc w:val="center"/>
              <w:rPr>
                <w:rFonts w:ascii="Times New Roman" w:hAnsi="Times New Roman" w:cs="Times New Roman"/>
                <w:b/>
                <w:sz w:val="20"/>
                <w:szCs w:val="20"/>
              </w:rPr>
            </w:pPr>
            <w:r w:rsidRPr="002B1581">
              <w:rPr>
                <w:rFonts w:ascii="Calibri" w:eastAsia="Times New Roman" w:hAnsi="Calibri" w:cs="Calibri"/>
                <w:b/>
                <w:bCs/>
                <w:color w:val="000000"/>
                <w:sz w:val="20"/>
                <w:szCs w:val="20"/>
                <w:lang w:eastAsia="ru-RU"/>
              </w:rPr>
              <w:t>Доля презентаций каждого типа кампаний</w:t>
            </w:r>
          </w:p>
        </w:tc>
        <w:tc>
          <w:tcPr>
            <w:tcW w:w="692" w:type="pct"/>
            <w:tcBorders>
              <w:top w:val="single" w:sz="8" w:space="0" w:color="auto"/>
              <w:left w:val="nil"/>
              <w:bottom w:val="single" w:sz="8" w:space="0" w:color="auto"/>
              <w:right w:val="single" w:sz="8" w:space="0" w:color="auto"/>
            </w:tcBorders>
            <w:shd w:val="clear" w:color="auto" w:fill="auto"/>
            <w:vAlign w:val="center"/>
            <w:hideMark/>
          </w:tcPr>
          <w:p w:rsidR="002B1581" w:rsidRPr="002B1581" w:rsidRDefault="002B1581" w:rsidP="002B1581">
            <w:pPr>
              <w:spacing w:after="0" w:line="240" w:lineRule="auto"/>
              <w:rPr>
                <w:rFonts w:ascii="Calibri" w:eastAsia="Times New Roman" w:hAnsi="Calibri" w:cs="Calibri"/>
                <w:b/>
                <w:bCs/>
                <w:color w:val="FF0000"/>
                <w:sz w:val="20"/>
                <w:szCs w:val="20"/>
                <w:lang w:eastAsia="ru-RU"/>
              </w:rPr>
            </w:pPr>
            <w:r w:rsidRPr="002B1581">
              <w:rPr>
                <w:rFonts w:ascii="Calibri" w:eastAsia="Times New Roman" w:hAnsi="Calibri" w:cs="Calibri"/>
                <w:b/>
                <w:bCs/>
                <w:color w:val="000000"/>
                <w:sz w:val="20"/>
                <w:szCs w:val="20"/>
                <w:lang w:eastAsia="ru-RU"/>
              </w:rPr>
              <w:t>Доля эффект</w:t>
            </w:r>
            <w:r>
              <w:rPr>
                <w:rFonts w:ascii="Calibri" w:eastAsia="Times New Roman" w:hAnsi="Calibri" w:cs="Calibri"/>
                <w:b/>
                <w:bCs/>
                <w:color w:val="000000"/>
                <w:sz w:val="20"/>
                <w:szCs w:val="20"/>
                <w:lang w:eastAsia="ru-RU"/>
              </w:rPr>
              <w:t>.</w:t>
            </w:r>
            <w:r w:rsidRPr="002B1581">
              <w:rPr>
                <w:rFonts w:ascii="Calibri" w:eastAsia="Times New Roman" w:hAnsi="Calibri" w:cs="Calibri"/>
                <w:b/>
                <w:bCs/>
                <w:color w:val="000000"/>
                <w:sz w:val="20"/>
                <w:szCs w:val="20"/>
                <w:lang w:eastAsia="ru-RU"/>
              </w:rPr>
              <w:t xml:space="preserve"> презентаций </w:t>
            </w:r>
            <w:r>
              <w:rPr>
                <w:rFonts w:ascii="Calibri" w:eastAsia="Times New Roman" w:hAnsi="Calibri" w:cs="Calibri"/>
                <w:b/>
                <w:bCs/>
                <w:color w:val="000000"/>
                <w:sz w:val="20"/>
                <w:szCs w:val="20"/>
                <w:lang w:eastAsia="ru-RU"/>
              </w:rPr>
              <w:t>от выгруженной базы каждого типа кампаний</w:t>
            </w:r>
          </w:p>
        </w:tc>
        <w:tc>
          <w:tcPr>
            <w:tcW w:w="688" w:type="pct"/>
            <w:tcBorders>
              <w:top w:val="single" w:sz="8" w:space="0" w:color="auto"/>
              <w:left w:val="nil"/>
              <w:bottom w:val="single" w:sz="8" w:space="0" w:color="auto"/>
              <w:right w:val="single" w:sz="8" w:space="0" w:color="auto"/>
            </w:tcBorders>
            <w:shd w:val="clear" w:color="auto" w:fill="auto"/>
            <w:vAlign w:val="center"/>
            <w:hideMark/>
          </w:tcPr>
          <w:p w:rsidR="002B1581" w:rsidRPr="002B1581" w:rsidRDefault="002B1581" w:rsidP="002B1581">
            <w:pPr>
              <w:spacing w:after="0" w:line="240" w:lineRule="auto"/>
              <w:rPr>
                <w:rFonts w:ascii="Calibri" w:eastAsia="Times New Roman" w:hAnsi="Calibri" w:cs="Calibri"/>
                <w:b/>
                <w:bCs/>
                <w:color w:val="000000"/>
                <w:sz w:val="20"/>
                <w:szCs w:val="20"/>
                <w:lang w:eastAsia="ru-RU"/>
              </w:rPr>
            </w:pPr>
            <w:r w:rsidRPr="002B1581">
              <w:rPr>
                <w:rFonts w:ascii="Calibri" w:eastAsia="Times New Roman" w:hAnsi="Calibri" w:cs="Calibri"/>
                <w:b/>
                <w:bCs/>
                <w:color w:val="000000"/>
                <w:sz w:val="20"/>
                <w:szCs w:val="20"/>
                <w:lang w:eastAsia="ru-RU"/>
              </w:rPr>
              <w:t xml:space="preserve">Доля каждого типа кампаний в общем объеме выгрузки за отчетный период </w:t>
            </w:r>
          </w:p>
        </w:tc>
      </w:tr>
      <w:tr w:rsidR="002C3453" w:rsidRPr="006F7E62" w:rsidTr="002C3453">
        <w:trPr>
          <w:trHeight w:val="627"/>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1</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Одобренный кредит наличными</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Заключен договор после презентации в период действия предложения в рамках макропродукта предложения</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96</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sidRPr="006F7E62">
              <w:rPr>
                <w:rFonts w:ascii="Calibri" w:eastAsia="Times New Roman" w:hAnsi="Calibri" w:cs="Calibri"/>
                <w:color w:val="000000"/>
                <w:lang w:eastAsia="ru-RU"/>
              </w:rPr>
              <w:t>64</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4,8</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r>
      <w:tr w:rsidR="002C3453" w:rsidRPr="006F7E62" w:rsidTr="002C3453">
        <w:trPr>
          <w:trHeight w:val="627"/>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2</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 xml:space="preserve">Предварительно одобренный </w:t>
            </w:r>
            <w:r w:rsidRPr="002C3453">
              <w:rPr>
                <w:rFonts w:ascii="Calibri" w:eastAsiaTheme="minorEastAsia" w:hAnsi="Calibri" w:cs="Arial"/>
                <w:color w:val="000000"/>
                <w:szCs w:val="21"/>
                <w:lang w:eastAsia="ru-RU"/>
              </w:rPr>
              <w:lastRenderedPageBreak/>
              <w:t>кредит наличными</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lastRenderedPageBreak/>
              <w:t xml:space="preserve">Заключен договор после презентации в период действия </w:t>
            </w:r>
            <w:r w:rsidRPr="002C3453">
              <w:rPr>
                <w:rFonts w:ascii="Calibri" w:eastAsiaTheme="minorEastAsia" w:hAnsi="Calibri" w:cs="Arial"/>
                <w:color w:val="000000"/>
                <w:szCs w:val="21"/>
                <w:lang w:eastAsia="ru-RU"/>
              </w:rPr>
              <w:lastRenderedPageBreak/>
              <w:t>предложения в рамках макропродукта предложения</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96</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64</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1,5</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62</w:t>
            </w:r>
          </w:p>
        </w:tc>
      </w:tr>
      <w:tr w:rsidR="002C3453" w:rsidRPr="006F7E62" w:rsidTr="002C3453">
        <w:trPr>
          <w:trHeight w:val="946"/>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3</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Предварительно одобренный кредит наличными на рефинансирование кредита в другом банке</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Заключен договор после презентации в период действия предложения в рамках макропродукта предложения</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98</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sidRPr="006F7E62">
              <w:rPr>
                <w:rFonts w:ascii="Calibri" w:eastAsia="Times New Roman" w:hAnsi="Calibri" w:cs="Calibri"/>
                <w:color w:val="000000"/>
                <w:lang w:eastAsia="ru-RU"/>
              </w:rPr>
              <w:t>66</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2,7</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2C3453" w:rsidRPr="006F7E62" w:rsidTr="002C3453">
        <w:trPr>
          <w:trHeight w:val="627"/>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4</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Одобренная карта с кредитным лимитом</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Заключен договор после презентации в период действия предложения в рамках макропродукта предложения</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96</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sidRPr="006F7E62">
              <w:rPr>
                <w:rFonts w:ascii="Calibri" w:eastAsia="Times New Roman" w:hAnsi="Calibri" w:cs="Calibri"/>
                <w:color w:val="000000"/>
                <w:lang w:eastAsia="ru-RU"/>
              </w:rPr>
              <w:t>70</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8,7</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r>
      <w:tr w:rsidR="002C3453" w:rsidRPr="006F7E62" w:rsidTr="002C3453">
        <w:trPr>
          <w:trHeight w:val="627"/>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5</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Предварительно одобренная карта с кредитным лимитом</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Заключен договор после презентации в период действия предложения в рамках макропродукта предложения</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97</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60</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1,4</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2C3453" w:rsidRPr="006F7E62" w:rsidTr="002C3453">
        <w:trPr>
          <w:trHeight w:val="1938"/>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6</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Одобренный кредит наличными с дополнительным лимитом, часть которого идет на погашение существующего кредита наличными, оставшаяся сумма выдается клиенту ("ТОП АП" на новый договор, КЭШ)</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Заключен договор после презентации в период действия предложения в рамках макропродукта предложения</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97</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sidRPr="006F7E62">
              <w:rPr>
                <w:rFonts w:ascii="Calibri" w:eastAsia="Times New Roman" w:hAnsi="Calibri" w:cs="Calibri"/>
                <w:color w:val="000000"/>
                <w:lang w:eastAsia="ru-RU"/>
              </w:rPr>
              <w:t>67</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sidRPr="006F7E62">
              <w:rPr>
                <w:rFonts w:ascii="Calibri" w:eastAsia="Times New Roman" w:hAnsi="Calibri" w:cs="Calibri"/>
                <w:color w:val="000000"/>
                <w:lang w:eastAsia="ru-RU"/>
              </w:rPr>
              <w:t>11,0</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w:t>
            </w:r>
          </w:p>
        </w:tc>
      </w:tr>
      <w:tr w:rsidR="002C3453" w:rsidRPr="006F7E62" w:rsidTr="002C3453">
        <w:trPr>
          <w:trHeight w:val="1983"/>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7</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 xml:space="preserve">Одобренный кредит наличными с дополнительным лимитом, часть которого идет на погашение </w:t>
            </w:r>
            <w:r w:rsidRPr="002C3453">
              <w:rPr>
                <w:rFonts w:ascii="Calibri" w:eastAsiaTheme="minorEastAsia" w:hAnsi="Calibri" w:cs="Arial"/>
                <w:color w:val="000000"/>
                <w:szCs w:val="21"/>
                <w:lang w:eastAsia="ru-RU"/>
              </w:rPr>
              <w:lastRenderedPageBreak/>
              <w:t>существующего кредита на покупки, оставшаяся сумма выдается клиенту ("ТОП АП" на новый договор, ПОС)</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lastRenderedPageBreak/>
              <w:t xml:space="preserve">Заключен договор после презентации в период действия предложения в рамках </w:t>
            </w:r>
            <w:r w:rsidRPr="002C3453">
              <w:rPr>
                <w:rFonts w:ascii="Calibri" w:eastAsiaTheme="minorEastAsia" w:hAnsi="Calibri" w:cs="Arial"/>
                <w:color w:val="000000"/>
                <w:szCs w:val="21"/>
                <w:lang w:eastAsia="ru-RU"/>
              </w:rPr>
              <w:lastRenderedPageBreak/>
              <w:t>макропродукта предложения</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97</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60</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3,9</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2C3453" w:rsidRPr="006F7E62" w:rsidTr="002C3453">
        <w:trPr>
          <w:trHeight w:val="918"/>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8</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Перевод пенсии</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Произведена смета тарифного плана сберегательного счета на ТП "Пенсионный" или ТП «Зарплатный пенсионер» после презентации в период действия предложения</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97</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sidRPr="006F7E62">
              <w:rPr>
                <w:rFonts w:ascii="Calibri" w:eastAsia="Times New Roman" w:hAnsi="Calibri" w:cs="Calibri"/>
                <w:color w:val="000000"/>
                <w:lang w:eastAsia="ru-RU"/>
              </w:rPr>
              <w:t>56</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1,3</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2C3453" w:rsidRPr="006F7E62" w:rsidTr="002C3453">
        <w:trPr>
          <w:trHeight w:val="1137"/>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9</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Кампании, направленные на увеличение портфеля по продукту (ориентированные на подключение услуг и изменение состояния ранее заключенных договоров)</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tabs>
                <w:tab w:val="left" w:pos="317"/>
              </w:tabs>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Произведено целевое действие по существующему договору клиента после презентации в период действия предложения</w:t>
            </w:r>
          </w:p>
          <w:p w:rsidR="002C3453" w:rsidRPr="002C3453" w:rsidRDefault="002C3453" w:rsidP="002C3453">
            <w:pPr>
              <w:tabs>
                <w:tab w:val="left" w:pos="317"/>
              </w:tabs>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 увеличение кредитного лимита по карте;</w:t>
            </w:r>
            <w:r w:rsidRPr="002C3453">
              <w:rPr>
                <w:rFonts w:ascii="Calibri" w:eastAsiaTheme="minorEastAsia" w:hAnsi="Calibri" w:cs="Arial"/>
                <w:color w:val="000000"/>
                <w:szCs w:val="21"/>
                <w:lang w:eastAsia="ru-RU"/>
              </w:rPr>
              <w:br/>
              <w:t>- проведена операция по карте;</w:t>
            </w:r>
          </w:p>
          <w:p w:rsidR="002C3453" w:rsidRPr="002C3453" w:rsidRDefault="002C3453" w:rsidP="002C3453">
            <w:pPr>
              <w:tabs>
                <w:tab w:val="left" w:pos="317"/>
              </w:tabs>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 произведен переход на ТП «Активный».</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97</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sidRPr="006F7E62">
              <w:rPr>
                <w:rFonts w:ascii="Calibri" w:eastAsia="Times New Roman" w:hAnsi="Calibri" w:cs="Calibri"/>
                <w:color w:val="000000"/>
                <w:lang w:eastAsia="ru-RU"/>
              </w:rPr>
              <w:t>73</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25,5</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r>
      <w:tr w:rsidR="002C3453" w:rsidRPr="006F7E62" w:rsidTr="002C3453">
        <w:trPr>
          <w:trHeight w:val="627"/>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10</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Депозиты</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Заключен договор после презентации в период действия кампании с положительным балансом на счете</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97</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38</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2,8</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2C3453" w:rsidRPr="006F7E62" w:rsidTr="002C3453">
        <w:trPr>
          <w:trHeight w:val="1119"/>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11</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 xml:space="preserve">Страховые коробочные продукты («Страхование жизни», «Страхование Здоровья», </w:t>
            </w:r>
            <w:r w:rsidRPr="002C3453">
              <w:rPr>
                <w:rFonts w:ascii="Calibri" w:eastAsiaTheme="minorEastAsia" w:hAnsi="Calibri" w:cs="Arial"/>
                <w:color w:val="000000"/>
                <w:szCs w:val="21"/>
                <w:lang w:eastAsia="ru-RU"/>
              </w:rPr>
              <w:lastRenderedPageBreak/>
              <w:t>«Страхование имущества»)</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lastRenderedPageBreak/>
              <w:t xml:space="preserve">Произведено списание денежных средств в пользу страховой компании за оплату страховой программы после презентации в </w:t>
            </w:r>
            <w:r w:rsidRPr="002C3453">
              <w:rPr>
                <w:rFonts w:ascii="Calibri" w:eastAsiaTheme="minorEastAsia" w:hAnsi="Calibri" w:cs="Arial"/>
                <w:color w:val="000000"/>
                <w:szCs w:val="21"/>
                <w:lang w:eastAsia="ru-RU"/>
              </w:rPr>
              <w:lastRenderedPageBreak/>
              <w:t>период действия кампании</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97</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74</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3,1</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sidRPr="006F7E62">
              <w:rPr>
                <w:rFonts w:ascii="Calibri" w:eastAsia="Times New Roman" w:hAnsi="Calibri" w:cs="Calibri"/>
                <w:color w:val="000000"/>
                <w:lang w:eastAsia="ru-RU"/>
              </w:rPr>
              <w:t>3</w:t>
            </w:r>
          </w:p>
        </w:tc>
      </w:tr>
      <w:tr w:rsidR="002C3453" w:rsidRPr="006F7E62" w:rsidTr="002C3453">
        <w:trPr>
          <w:trHeight w:val="673"/>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2C3453" w:rsidRPr="006F7E62" w:rsidRDefault="002C3453" w:rsidP="002C3453">
            <w:pPr>
              <w:spacing w:after="0" w:line="240" w:lineRule="auto"/>
              <w:rPr>
                <w:rFonts w:ascii="Calibri" w:eastAsia="Times New Roman" w:hAnsi="Calibri" w:cs="Calibri"/>
                <w:color w:val="000000"/>
                <w:lang w:eastAsia="ru-RU"/>
              </w:rPr>
            </w:pPr>
            <w:r w:rsidRPr="006F7E62">
              <w:rPr>
                <w:rFonts w:ascii="Calibri" w:eastAsia="Times New Roman" w:hAnsi="Calibri" w:cs="Calibri"/>
                <w:color w:val="000000"/>
                <w:lang w:eastAsia="ru-RU"/>
              </w:rPr>
              <w:t>12</w:t>
            </w:r>
          </w:p>
        </w:tc>
        <w:tc>
          <w:tcPr>
            <w:tcW w:w="950" w:type="pct"/>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Пилотные инициативы</w:t>
            </w:r>
          </w:p>
        </w:tc>
        <w:tc>
          <w:tcPr>
            <w:tcW w:w="1108" w:type="pct"/>
            <w:gridSpan w:val="2"/>
            <w:tcBorders>
              <w:top w:val="nil"/>
              <w:left w:val="nil"/>
              <w:bottom w:val="single" w:sz="8" w:space="0" w:color="auto"/>
              <w:right w:val="single" w:sz="8" w:space="0" w:color="auto"/>
            </w:tcBorders>
            <w:shd w:val="clear" w:color="auto" w:fill="auto"/>
            <w:vAlign w:val="center"/>
            <w:hideMark/>
          </w:tcPr>
          <w:p w:rsidR="002C3453" w:rsidRPr="002C3453" w:rsidRDefault="002C3453" w:rsidP="002C3453">
            <w:pPr>
              <w:jc w:val="both"/>
              <w:rPr>
                <w:rFonts w:ascii="Calibri" w:eastAsiaTheme="minorEastAsia" w:hAnsi="Calibri" w:cs="Arial"/>
                <w:color w:val="000000"/>
                <w:szCs w:val="21"/>
                <w:lang w:eastAsia="ru-RU"/>
              </w:rPr>
            </w:pPr>
            <w:r w:rsidRPr="002C3453">
              <w:rPr>
                <w:rFonts w:ascii="Calibri" w:eastAsiaTheme="minorEastAsia" w:hAnsi="Calibri" w:cs="Arial"/>
                <w:color w:val="000000"/>
                <w:szCs w:val="21"/>
                <w:lang w:eastAsia="ru-RU"/>
              </w:rPr>
              <w:t>Заключен договор после презентации в период действия кампании в рамках макропродукта предложения</w:t>
            </w:r>
          </w:p>
        </w:tc>
        <w:tc>
          <w:tcPr>
            <w:tcW w:w="619"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97</w:t>
            </w:r>
          </w:p>
        </w:tc>
        <w:tc>
          <w:tcPr>
            <w:tcW w:w="604"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50</w:t>
            </w:r>
          </w:p>
        </w:tc>
        <w:tc>
          <w:tcPr>
            <w:tcW w:w="692"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3,0</w:t>
            </w:r>
          </w:p>
        </w:tc>
        <w:tc>
          <w:tcPr>
            <w:tcW w:w="688" w:type="pct"/>
            <w:tcBorders>
              <w:top w:val="nil"/>
              <w:left w:val="nil"/>
              <w:bottom w:val="single" w:sz="8" w:space="0" w:color="auto"/>
              <w:right w:val="single" w:sz="8" w:space="0" w:color="auto"/>
            </w:tcBorders>
            <w:shd w:val="clear" w:color="auto" w:fill="auto"/>
            <w:noWrap/>
            <w:vAlign w:val="center"/>
            <w:hideMark/>
          </w:tcPr>
          <w:p w:rsidR="002C3453" w:rsidRPr="006F7E62" w:rsidRDefault="002C3453" w:rsidP="002C3453">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r>
    </w:tbl>
    <w:p w:rsidR="00C61901" w:rsidRDefault="00C61901" w:rsidP="0084159A">
      <w:pPr>
        <w:pStyle w:val="a5"/>
        <w:tabs>
          <w:tab w:val="left" w:pos="567"/>
        </w:tabs>
        <w:rPr>
          <w:rFonts w:asciiTheme="minorHAnsi" w:eastAsiaTheme="minorEastAsia" w:hAnsiTheme="minorHAnsi" w:cs="Arial"/>
          <w:b/>
          <w:color w:val="000000"/>
          <w:sz w:val="22"/>
          <w:szCs w:val="22"/>
        </w:rPr>
      </w:pPr>
    </w:p>
    <w:p w:rsidR="00BE0CF5" w:rsidRDefault="00BE0CF5" w:rsidP="0084159A">
      <w:pPr>
        <w:pStyle w:val="a5"/>
        <w:tabs>
          <w:tab w:val="left" w:pos="567"/>
        </w:tabs>
        <w:rPr>
          <w:rFonts w:asciiTheme="minorHAnsi" w:eastAsiaTheme="minorEastAsia" w:hAnsiTheme="minorHAnsi" w:cs="Arial"/>
          <w:b/>
          <w:color w:val="000000"/>
          <w:sz w:val="22"/>
          <w:szCs w:val="22"/>
          <w:u w:val="single"/>
        </w:rPr>
      </w:pPr>
    </w:p>
    <w:p w:rsidR="00BE0CF5" w:rsidRPr="00594334" w:rsidRDefault="00BE0CF5" w:rsidP="0084159A">
      <w:pPr>
        <w:pStyle w:val="a5"/>
        <w:tabs>
          <w:tab w:val="left" w:pos="567"/>
        </w:tabs>
        <w:rPr>
          <w:rFonts w:asciiTheme="minorHAnsi" w:eastAsiaTheme="minorEastAsia" w:hAnsiTheme="minorHAnsi" w:cs="Arial"/>
          <w:b/>
          <w:color w:val="000000"/>
          <w:sz w:val="22"/>
          <w:szCs w:val="22"/>
          <w:u w:val="single"/>
        </w:rPr>
      </w:pPr>
      <w:r>
        <w:rPr>
          <w:rFonts w:asciiTheme="minorHAnsi" w:eastAsiaTheme="minorEastAsia" w:hAnsiTheme="minorHAnsi" w:cs="Arial"/>
          <w:b/>
          <w:color w:val="000000"/>
          <w:sz w:val="22"/>
          <w:szCs w:val="22"/>
          <w:u w:val="single"/>
        </w:rPr>
        <w:t>СТОИМОСТЬ УСЛУГ ТЕЛЕМАРКЕТИНГА</w:t>
      </w:r>
    </w:p>
    <w:p w:rsidR="00BE0CF5" w:rsidRDefault="00BE0CF5" w:rsidP="0084159A">
      <w:pPr>
        <w:pStyle w:val="a5"/>
        <w:tabs>
          <w:tab w:val="left" w:pos="567"/>
        </w:tabs>
        <w:rPr>
          <w:rFonts w:asciiTheme="minorHAnsi" w:eastAsiaTheme="minorEastAsia" w:hAnsiTheme="minorHAnsi" w:cs="Arial"/>
          <w:color w:val="000000"/>
          <w:sz w:val="22"/>
          <w:szCs w:val="22"/>
        </w:rPr>
      </w:pPr>
    </w:p>
    <w:p w:rsidR="00BE0CF5" w:rsidRDefault="00594334" w:rsidP="0084159A">
      <w:pPr>
        <w:pStyle w:val="a5"/>
        <w:tabs>
          <w:tab w:val="left" w:pos="567"/>
        </w:tabs>
        <w:rPr>
          <w:rFonts w:asciiTheme="minorHAnsi" w:eastAsiaTheme="minorEastAsia" w:hAnsiTheme="minorHAnsi" w:cs="Arial"/>
          <w:color w:val="000000"/>
          <w:sz w:val="22"/>
          <w:szCs w:val="22"/>
        </w:rPr>
      </w:pPr>
      <w:r>
        <w:rPr>
          <w:rFonts w:asciiTheme="minorHAnsi" w:eastAsiaTheme="minorEastAsia" w:hAnsiTheme="minorHAnsi" w:cs="Arial"/>
          <w:color w:val="000000"/>
          <w:sz w:val="22"/>
          <w:szCs w:val="22"/>
        </w:rPr>
        <w:t>Тарификации</w:t>
      </w:r>
      <w:r w:rsidR="004F2759" w:rsidRPr="004F2759">
        <w:rPr>
          <w:rFonts w:asciiTheme="minorHAnsi" w:eastAsiaTheme="minorEastAsia" w:hAnsiTheme="minorHAnsi" w:cs="Arial"/>
          <w:color w:val="000000"/>
          <w:sz w:val="22"/>
          <w:szCs w:val="22"/>
        </w:rPr>
        <w:t xml:space="preserve"> </w:t>
      </w:r>
      <w:r w:rsidR="00BE0CF5">
        <w:rPr>
          <w:rFonts w:asciiTheme="minorHAnsi" w:eastAsiaTheme="minorEastAsia" w:hAnsiTheme="minorHAnsi" w:cs="Arial"/>
          <w:color w:val="000000"/>
          <w:sz w:val="22"/>
          <w:szCs w:val="22"/>
        </w:rPr>
        <w:t xml:space="preserve">подлежат следующие виды </w:t>
      </w:r>
      <w:r>
        <w:rPr>
          <w:rFonts w:asciiTheme="minorHAnsi" w:eastAsiaTheme="minorEastAsia" w:hAnsiTheme="minorHAnsi" w:cs="Arial"/>
          <w:color w:val="000000"/>
          <w:sz w:val="22"/>
          <w:szCs w:val="22"/>
        </w:rPr>
        <w:t xml:space="preserve">оказанных </w:t>
      </w:r>
      <w:r w:rsidR="00BE0CF5">
        <w:rPr>
          <w:rFonts w:asciiTheme="minorHAnsi" w:eastAsiaTheme="minorEastAsia" w:hAnsiTheme="minorHAnsi" w:cs="Arial"/>
          <w:color w:val="000000"/>
          <w:sz w:val="22"/>
          <w:szCs w:val="22"/>
        </w:rPr>
        <w:t xml:space="preserve">услуг Телемаркетинга: </w:t>
      </w:r>
    </w:p>
    <w:p w:rsidR="00BE0CF5" w:rsidRDefault="00BE0CF5" w:rsidP="0084159A">
      <w:pPr>
        <w:pStyle w:val="a5"/>
        <w:tabs>
          <w:tab w:val="left" w:pos="567"/>
        </w:tabs>
        <w:rPr>
          <w:rFonts w:asciiTheme="minorHAnsi" w:eastAsiaTheme="minorEastAsia" w:hAnsiTheme="minorHAnsi" w:cs="Arial"/>
          <w:color w:val="000000"/>
          <w:sz w:val="22"/>
          <w:szCs w:val="22"/>
        </w:rPr>
      </w:pPr>
    </w:p>
    <w:p w:rsidR="00E56CE4" w:rsidRDefault="00E56CE4" w:rsidP="0084159A">
      <w:pPr>
        <w:pStyle w:val="a5"/>
        <w:tabs>
          <w:tab w:val="left" w:pos="567"/>
        </w:tabs>
        <w:rPr>
          <w:rFonts w:asciiTheme="minorHAnsi" w:eastAsiaTheme="minorEastAsia" w:hAnsiTheme="minorHAnsi" w:cs="Arial"/>
          <w:color w:val="000000"/>
          <w:sz w:val="22"/>
          <w:szCs w:val="22"/>
        </w:rPr>
      </w:pPr>
      <w:r>
        <w:rPr>
          <w:rFonts w:asciiTheme="minorHAnsi" w:eastAsiaTheme="minorEastAsia" w:hAnsiTheme="minorHAnsi" w:cs="Arial"/>
          <w:color w:val="000000"/>
          <w:sz w:val="22"/>
          <w:szCs w:val="22"/>
        </w:rPr>
        <w:t>1. Исходящий вызов</w:t>
      </w:r>
      <w:r w:rsidR="002B1581">
        <w:rPr>
          <w:rFonts w:asciiTheme="minorHAnsi" w:eastAsiaTheme="minorEastAsia" w:hAnsiTheme="minorHAnsi" w:cs="Arial"/>
          <w:color w:val="000000"/>
          <w:sz w:val="22"/>
          <w:szCs w:val="22"/>
        </w:rPr>
        <w:t xml:space="preserve"> (един для всех типов кампаний)</w:t>
      </w:r>
    </w:p>
    <w:p w:rsidR="00E56CE4" w:rsidRDefault="00E56CE4" w:rsidP="0084159A">
      <w:pPr>
        <w:pStyle w:val="a5"/>
        <w:tabs>
          <w:tab w:val="left" w:pos="567"/>
        </w:tabs>
        <w:rPr>
          <w:rFonts w:asciiTheme="minorHAnsi" w:eastAsiaTheme="minorEastAsia" w:hAnsiTheme="minorHAnsi" w:cs="Arial"/>
          <w:color w:val="000000"/>
          <w:sz w:val="22"/>
          <w:szCs w:val="22"/>
        </w:rPr>
      </w:pPr>
      <w:r>
        <w:rPr>
          <w:rFonts w:asciiTheme="minorHAnsi" w:eastAsiaTheme="minorEastAsia" w:hAnsiTheme="minorHAnsi" w:cs="Arial"/>
          <w:color w:val="000000"/>
          <w:sz w:val="22"/>
          <w:szCs w:val="22"/>
        </w:rPr>
        <w:t>2. Эффективная презентация</w:t>
      </w:r>
      <w:r w:rsidR="002B1581">
        <w:rPr>
          <w:rFonts w:asciiTheme="minorHAnsi" w:eastAsiaTheme="minorEastAsia" w:hAnsiTheme="minorHAnsi" w:cs="Arial"/>
          <w:color w:val="000000"/>
          <w:sz w:val="22"/>
          <w:szCs w:val="22"/>
        </w:rPr>
        <w:t xml:space="preserve"> (отдельный по каждому типа кампаний)</w:t>
      </w:r>
    </w:p>
    <w:p w:rsidR="00E56CE4" w:rsidRDefault="00E56CE4" w:rsidP="0084159A">
      <w:pPr>
        <w:pStyle w:val="a5"/>
        <w:tabs>
          <w:tab w:val="left" w:pos="567"/>
        </w:tabs>
        <w:rPr>
          <w:rFonts w:asciiTheme="minorHAnsi" w:eastAsiaTheme="minorEastAsia" w:hAnsiTheme="minorHAnsi" w:cs="Arial"/>
          <w:color w:val="000000"/>
          <w:sz w:val="22"/>
          <w:szCs w:val="22"/>
        </w:rPr>
      </w:pPr>
    </w:p>
    <w:p w:rsidR="00E56CE4" w:rsidRDefault="001033EE" w:rsidP="0084159A">
      <w:pPr>
        <w:pStyle w:val="a5"/>
        <w:tabs>
          <w:tab w:val="left" w:pos="567"/>
        </w:tabs>
        <w:rPr>
          <w:rFonts w:asciiTheme="minorHAnsi" w:eastAsiaTheme="minorEastAsia" w:hAnsiTheme="minorHAnsi" w:cs="Arial"/>
          <w:color w:val="000000"/>
          <w:sz w:val="22"/>
          <w:szCs w:val="22"/>
        </w:rPr>
      </w:pPr>
      <w:r>
        <w:rPr>
          <w:rFonts w:asciiTheme="minorHAnsi" w:eastAsiaTheme="minorEastAsia" w:hAnsiTheme="minorHAnsi" w:cs="Arial"/>
          <w:color w:val="000000"/>
          <w:sz w:val="22"/>
          <w:szCs w:val="22"/>
        </w:rPr>
        <w:t>Тарифы на услуги</w:t>
      </w:r>
      <w:r w:rsidR="00594334">
        <w:rPr>
          <w:rFonts w:asciiTheme="minorHAnsi" w:eastAsiaTheme="minorEastAsia" w:hAnsiTheme="minorHAnsi" w:cs="Arial"/>
          <w:color w:val="000000"/>
          <w:sz w:val="22"/>
          <w:szCs w:val="22"/>
        </w:rPr>
        <w:t xml:space="preserve"> Телемаркетинга указываются в форме Коммерческого предложения</w:t>
      </w:r>
      <w:r>
        <w:rPr>
          <w:rFonts w:asciiTheme="minorHAnsi" w:eastAsiaTheme="minorEastAsia" w:hAnsiTheme="minorHAnsi" w:cs="Arial"/>
          <w:color w:val="000000"/>
          <w:sz w:val="22"/>
          <w:szCs w:val="22"/>
        </w:rPr>
        <w:t>.</w:t>
      </w:r>
      <w:r w:rsidR="00E56CE4">
        <w:rPr>
          <w:rFonts w:asciiTheme="minorHAnsi" w:eastAsiaTheme="minorEastAsia" w:hAnsiTheme="minorHAnsi" w:cs="Arial"/>
          <w:color w:val="000000"/>
          <w:sz w:val="22"/>
          <w:szCs w:val="22"/>
        </w:rPr>
        <w:t xml:space="preserve"> </w:t>
      </w:r>
    </w:p>
    <w:p w:rsidR="00755D25" w:rsidRDefault="00755D25" w:rsidP="00293CEC">
      <w:pPr>
        <w:tabs>
          <w:tab w:val="left" w:pos="284"/>
        </w:tabs>
        <w:spacing w:after="0" w:line="240" w:lineRule="auto"/>
        <w:contextualSpacing/>
        <w:jc w:val="both"/>
        <w:rPr>
          <w:rFonts w:ascii="Calibri" w:eastAsiaTheme="minorEastAsia" w:hAnsi="Calibri" w:cs="Arial"/>
          <w:color w:val="000000"/>
          <w:szCs w:val="21"/>
          <w:lang w:eastAsia="ru-RU"/>
        </w:rPr>
      </w:pPr>
    </w:p>
    <w:p w:rsidR="00594334" w:rsidRDefault="00594334" w:rsidP="00293CEC">
      <w:pPr>
        <w:tabs>
          <w:tab w:val="left" w:pos="284"/>
        </w:tabs>
        <w:spacing w:after="0" w:line="240" w:lineRule="auto"/>
        <w:contextualSpacing/>
        <w:jc w:val="both"/>
        <w:rPr>
          <w:rFonts w:ascii="Calibri" w:eastAsiaTheme="minorEastAsia" w:hAnsi="Calibri" w:cs="Arial"/>
          <w:b/>
          <w:color w:val="000000"/>
          <w:szCs w:val="21"/>
          <w:lang w:eastAsia="ru-RU"/>
        </w:rPr>
      </w:pPr>
    </w:p>
    <w:p w:rsidR="00293CEC" w:rsidRPr="001A0977" w:rsidRDefault="00293CEC" w:rsidP="00293CEC">
      <w:pPr>
        <w:tabs>
          <w:tab w:val="left" w:pos="284"/>
        </w:tabs>
        <w:spacing w:after="0" w:line="240" w:lineRule="auto"/>
        <w:contextualSpacing/>
        <w:jc w:val="both"/>
        <w:rPr>
          <w:rFonts w:ascii="Calibri" w:eastAsiaTheme="minorEastAsia" w:hAnsi="Calibri" w:cs="Arial"/>
          <w:b/>
          <w:color w:val="000000"/>
          <w:szCs w:val="21"/>
          <w:lang w:eastAsia="ru-RU"/>
        </w:rPr>
      </w:pPr>
      <w:r w:rsidRPr="001A0977">
        <w:rPr>
          <w:rFonts w:ascii="Calibri" w:eastAsiaTheme="minorEastAsia" w:hAnsi="Calibri" w:cs="Arial"/>
          <w:b/>
          <w:color w:val="000000"/>
          <w:szCs w:val="21"/>
          <w:lang w:eastAsia="ru-RU"/>
        </w:rPr>
        <w:t>Формула расчета Вознаграждений</w:t>
      </w:r>
      <w:r w:rsidR="007D09A6" w:rsidRPr="001A0977">
        <w:rPr>
          <w:rFonts w:ascii="Calibri" w:eastAsiaTheme="minorEastAsia" w:hAnsi="Calibri" w:cs="Arial"/>
          <w:b/>
          <w:color w:val="000000"/>
          <w:szCs w:val="21"/>
          <w:lang w:eastAsia="ru-RU"/>
        </w:rPr>
        <w:t xml:space="preserve"> за отчетный период</w:t>
      </w:r>
      <w:r w:rsidRPr="001A0977">
        <w:rPr>
          <w:rFonts w:ascii="Calibri" w:eastAsiaTheme="minorEastAsia" w:hAnsi="Calibri" w:cs="Arial"/>
          <w:b/>
          <w:color w:val="000000"/>
          <w:szCs w:val="21"/>
          <w:lang w:eastAsia="ru-RU"/>
        </w:rPr>
        <w:t xml:space="preserve">: </w:t>
      </w:r>
    </w:p>
    <w:p w:rsidR="00293CEC" w:rsidRPr="001A0977" w:rsidRDefault="00293CEC" w:rsidP="00293CEC">
      <w:pPr>
        <w:tabs>
          <w:tab w:val="left" w:pos="284"/>
        </w:tabs>
        <w:spacing w:after="0" w:line="240" w:lineRule="auto"/>
        <w:contextualSpacing/>
        <w:jc w:val="both"/>
        <w:rPr>
          <w:rFonts w:ascii="Calibri" w:eastAsiaTheme="minorEastAsia" w:hAnsi="Calibri" w:cs="Arial"/>
          <w:color w:val="000000"/>
          <w:szCs w:val="21"/>
          <w:lang w:eastAsia="ru-RU"/>
        </w:rPr>
      </w:pPr>
    </w:p>
    <w:p w:rsidR="002C3453" w:rsidRPr="002C3453" w:rsidRDefault="002C3453" w:rsidP="002C3453">
      <w:pPr>
        <w:pStyle w:val="a5"/>
        <w:numPr>
          <w:ilvl w:val="0"/>
          <w:numId w:val="9"/>
        </w:numPr>
        <w:tabs>
          <w:tab w:val="left" w:pos="851"/>
          <w:tab w:val="left" w:pos="900"/>
          <w:tab w:val="num" w:pos="1080"/>
        </w:tabs>
        <w:autoSpaceDE w:val="0"/>
        <w:autoSpaceDN w:val="0"/>
        <w:spacing w:after="120"/>
        <w:rPr>
          <w:rFonts w:asciiTheme="minorHAnsi" w:hAnsiTheme="minorHAnsi" w:cstheme="minorHAnsi"/>
          <w:sz w:val="22"/>
          <w:szCs w:val="22"/>
        </w:rPr>
      </w:pPr>
      <w:r w:rsidRPr="002C3453">
        <w:rPr>
          <w:rFonts w:asciiTheme="minorHAnsi" w:hAnsiTheme="minorHAnsi" w:cstheme="minorHAnsi"/>
          <w:sz w:val="22"/>
          <w:szCs w:val="22"/>
        </w:rPr>
        <w:t>Порядок расчета стоимости Услуг за Отчетный период:</w:t>
      </w:r>
    </w:p>
    <w:tbl>
      <w:tblPr>
        <w:tblpPr w:leftFromText="180" w:rightFromText="180" w:vertAnchor="text" w:horzAnchor="margin" w:tblpYSpec="insid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91"/>
      </w:tblGrid>
      <w:tr w:rsidR="002C3453" w:rsidRPr="002C3453" w:rsidTr="003E3720">
        <w:trPr>
          <w:trHeight w:val="414"/>
        </w:trPr>
        <w:tc>
          <w:tcPr>
            <w:tcW w:w="4248" w:type="dxa"/>
            <w:shd w:val="clear" w:color="auto" w:fill="auto"/>
          </w:tcPr>
          <w:p w:rsidR="002C3453" w:rsidRPr="002C3453" w:rsidRDefault="002C3453" w:rsidP="003E3720">
            <w:pPr>
              <w:pStyle w:val="a5"/>
              <w:tabs>
                <w:tab w:val="left" w:pos="851"/>
              </w:tabs>
              <w:spacing w:before="120"/>
              <w:rPr>
                <w:rFonts w:asciiTheme="minorHAnsi" w:hAnsiTheme="minorHAnsi" w:cstheme="minorHAnsi"/>
                <w:b/>
                <w:sz w:val="22"/>
                <w:szCs w:val="22"/>
              </w:rPr>
            </w:pPr>
            <w:r w:rsidRPr="002C3453">
              <w:rPr>
                <w:rFonts w:asciiTheme="minorHAnsi" w:hAnsiTheme="minorHAnsi" w:cstheme="minorHAnsi"/>
                <w:b/>
                <w:sz w:val="22"/>
                <w:szCs w:val="22"/>
              </w:rPr>
              <w:t>Доля обработанной базы каждого типа кампании (Kоб i)</w:t>
            </w:r>
          </w:p>
        </w:tc>
        <w:tc>
          <w:tcPr>
            <w:tcW w:w="5391" w:type="dxa"/>
            <w:shd w:val="clear" w:color="auto" w:fill="auto"/>
          </w:tcPr>
          <w:p w:rsidR="002C3453" w:rsidRPr="002C3453" w:rsidRDefault="002C3453" w:rsidP="003E3720">
            <w:pPr>
              <w:pStyle w:val="a5"/>
              <w:tabs>
                <w:tab w:val="left" w:pos="851"/>
              </w:tabs>
              <w:spacing w:before="120"/>
              <w:rPr>
                <w:rFonts w:asciiTheme="minorHAnsi" w:hAnsiTheme="minorHAnsi" w:cstheme="minorHAnsi"/>
                <w:b/>
                <w:sz w:val="22"/>
                <w:szCs w:val="22"/>
              </w:rPr>
            </w:pPr>
            <w:r w:rsidRPr="002C3453">
              <w:rPr>
                <w:rFonts w:asciiTheme="minorHAnsi" w:hAnsiTheme="minorHAnsi" w:cstheme="minorHAnsi"/>
                <w:b/>
                <w:sz w:val="22"/>
                <w:szCs w:val="22"/>
              </w:rPr>
              <w:t>Стоимость услуг за Отчетный</w:t>
            </w:r>
          </w:p>
        </w:tc>
      </w:tr>
      <w:tr w:rsidR="002C3453" w:rsidRPr="002C3453" w:rsidTr="003E3720">
        <w:trPr>
          <w:trHeight w:val="686"/>
        </w:trPr>
        <w:tc>
          <w:tcPr>
            <w:tcW w:w="4248" w:type="dxa"/>
            <w:shd w:val="clear" w:color="auto" w:fill="auto"/>
          </w:tcPr>
          <w:p w:rsidR="002C3453" w:rsidRPr="002C3453" w:rsidRDefault="002C3453" w:rsidP="003E3720">
            <w:pPr>
              <w:pStyle w:val="a5"/>
              <w:tabs>
                <w:tab w:val="left" w:pos="851"/>
              </w:tabs>
              <w:spacing w:before="120"/>
              <w:rPr>
                <w:rFonts w:asciiTheme="minorHAnsi" w:hAnsiTheme="minorHAnsi" w:cstheme="minorHAnsi"/>
                <w:sz w:val="22"/>
                <w:szCs w:val="22"/>
              </w:rPr>
            </w:pPr>
            <w:r w:rsidRPr="002C3453">
              <w:rPr>
                <w:rFonts w:asciiTheme="minorHAnsi" w:hAnsiTheme="minorHAnsi" w:cstheme="minorHAnsi"/>
                <w:sz w:val="22"/>
                <w:szCs w:val="22"/>
                <w:lang w:val="en-US"/>
              </w:rPr>
              <w:t>K</w:t>
            </w:r>
            <w:r w:rsidRPr="002C3453">
              <w:rPr>
                <w:rFonts w:asciiTheme="minorHAnsi" w:hAnsiTheme="minorHAnsi" w:cstheme="minorHAnsi"/>
                <w:sz w:val="22"/>
                <w:szCs w:val="22"/>
              </w:rPr>
              <w:t xml:space="preserve">об </w:t>
            </w:r>
            <w:r w:rsidRPr="002C3453">
              <w:rPr>
                <w:rFonts w:asciiTheme="minorHAnsi" w:hAnsiTheme="minorHAnsi" w:cstheme="minorHAnsi"/>
                <w:sz w:val="22"/>
                <w:szCs w:val="22"/>
                <w:lang w:val="en-US"/>
              </w:rPr>
              <w:t>i</w:t>
            </w:r>
            <w:r w:rsidRPr="002C3453">
              <w:rPr>
                <w:rFonts w:asciiTheme="minorHAnsi" w:hAnsiTheme="minorHAnsi" w:cstheme="minorHAnsi"/>
                <w:sz w:val="22"/>
                <w:szCs w:val="22"/>
              </w:rPr>
              <w:t xml:space="preserve"> при </w:t>
            </w:r>
            <w:r w:rsidRPr="002C3453">
              <w:rPr>
                <w:rFonts w:asciiTheme="minorHAnsi" w:hAnsiTheme="minorHAnsi" w:cstheme="minorHAnsi"/>
                <w:sz w:val="22"/>
                <w:szCs w:val="22"/>
                <w:lang w:val="en-US"/>
              </w:rPr>
              <w:t>i</w:t>
            </w:r>
            <w:r w:rsidRPr="002C3453">
              <w:rPr>
                <w:rFonts w:asciiTheme="minorHAnsi" w:hAnsiTheme="minorHAnsi" w:cstheme="minorHAnsi"/>
                <w:sz w:val="22"/>
                <w:szCs w:val="22"/>
              </w:rPr>
              <w:t>= {1;</w:t>
            </w:r>
            <w:r w:rsidRPr="002C3453">
              <w:rPr>
                <w:rFonts w:asciiTheme="minorHAnsi" w:hAnsiTheme="minorHAnsi" w:cstheme="minorHAnsi"/>
                <w:sz w:val="22"/>
                <w:szCs w:val="22"/>
                <w:lang w:val="en-US"/>
              </w:rPr>
              <w:t>N</w:t>
            </w:r>
            <w:r w:rsidRPr="002C3453">
              <w:rPr>
                <w:rFonts w:asciiTheme="minorHAnsi" w:hAnsiTheme="minorHAnsi" w:cstheme="minorHAnsi"/>
                <w:sz w:val="22"/>
                <w:szCs w:val="22"/>
              </w:rPr>
              <w:t>}  &gt;= 90%</w:t>
            </w:r>
          </w:p>
          <w:p w:rsidR="002C3453" w:rsidRPr="002C3453" w:rsidRDefault="002C3453" w:rsidP="003E3720">
            <w:pPr>
              <w:pStyle w:val="a5"/>
              <w:tabs>
                <w:tab w:val="left" w:pos="851"/>
              </w:tabs>
              <w:spacing w:before="120"/>
              <w:rPr>
                <w:rFonts w:asciiTheme="minorHAnsi" w:hAnsiTheme="minorHAnsi" w:cstheme="minorHAnsi"/>
                <w:sz w:val="22"/>
                <w:szCs w:val="22"/>
              </w:rPr>
            </w:pPr>
            <w:r w:rsidRPr="002C3453">
              <w:rPr>
                <w:rFonts w:asciiTheme="minorHAnsi" w:hAnsiTheme="minorHAnsi" w:cstheme="minorHAnsi"/>
                <w:sz w:val="22"/>
                <w:szCs w:val="22"/>
              </w:rPr>
              <w:t xml:space="preserve">Должно выполняться для всех </w:t>
            </w:r>
            <w:r w:rsidRPr="002C3453">
              <w:rPr>
                <w:rFonts w:asciiTheme="minorHAnsi" w:hAnsiTheme="minorHAnsi" w:cstheme="minorHAnsi"/>
                <w:sz w:val="22"/>
                <w:szCs w:val="22"/>
                <w:lang w:val="en-US"/>
              </w:rPr>
              <w:t>i</w:t>
            </w:r>
          </w:p>
        </w:tc>
        <w:tc>
          <w:tcPr>
            <w:tcW w:w="5391" w:type="dxa"/>
            <w:shd w:val="clear" w:color="auto" w:fill="auto"/>
          </w:tcPr>
          <w:p w:rsidR="002C3453" w:rsidRPr="002C3453" w:rsidRDefault="002C3453" w:rsidP="003E3720">
            <w:pPr>
              <w:contextualSpacing/>
              <w:rPr>
                <w:rFonts w:cstheme="minorHAnsi"/>
                <w:lang w:eastAsia="ru-RU"/>
              </w:rPr>
            </w:pPr>
            <w:r w:rsidRPr="002C3453">
              <w:rPr>
                <w:rFonts w:cstheme="minorHAnsi"/>
                <w:lang w:eastAsia="ru-RU"/>
              </w:rPr>
              <w:t xml:space="preserve">∑Стоимость i =∑ (Выгрузка i *Kоб i * Kп i *Т1 + Количество Эффективных Презентаций i*Т2i) </w:t>
            </w:r>
          </w:p>
        </w:tc>
      </w:tr>
      <w:tr w:rsidR="002C3453" w:rsidRPr="002C3453" w:rsidTr="003E3720">
        <w:trPr>
          <w:trHeight w:val="414"/>
        </w:trPr>
        <w:tc>
          <w:tcPr>
            <w:tcW w:w="4248" w:type="dxa"/>
            <w:shd w:val="clear" w:color="auto" w:fill="auto"/>
          </w:tcPr>
          <w:p w:rsidR="002C3453" w:rsidRPr="002C3453" w:rsidRDefault="002C3453" w:rsidP="003E3720">
            <w:pPr>
              <w:pStyle w:val="a5"/>
              <w:tabs>
                <w:tab w:val="left" w:pos="851"/>
              </w:tabs>
              <w:spacing w:before="120"/>
              <w:rPr>
                <w:rFonts w:asciiTheme="minorHAnsi" w:hAnsiTheme="minorHAnsi" w:cstheme="minorHAnsi"/>
                <w:sz w:val="22"/>
                <w:szCs w:val="22"/>
              </w:rPr>
            </w:pPr>
            <w:r w:rsidRPr="002C3453">
              <w:rPr>
                <w:rFonts w:asciiTheme="minorHAnsi" w:hAnsiTheme="minorHAnsi" w:cstheme="minorHAnsi"/>
                <w:sz w:val="22"/>
                <w:szCs w:val="22"/>
                <w:lang w:val="en-US"/>
              </w:rPr>
              <w:t>K</w:t>
            </w:r>
            <w:r w:rsidRPr="002C3453">
              <w:rPr>
                <w:rFonts w:asciiTheme="minorHAnsi" w:hAnsiTheme="minorHAnsi" w:cstheme="minorHAnsi"/>
                <w:sz w:val="22"/>
                <w:szCs w:val="22"/>
              </w:rPr>
              <w:t xml:space="preserve">об </w:t>
            </w:r>
            <w:r w:rsidRPr="002C3453">
              <w:rPr>
                <w:rFonts w:asciiTheme="minorHAnsi" w:hAnsiTheme="minorHAnsi" w:cstheme="minorHAnsi"/>
                <w:sz w:val="22"/>
                <w:szCs w:val="22"/>
                <w:lang w:val="en-US"/>
              </w:rPr>
              <w:t>i</w:t>
            </w:r>
            <w:r w:rsidRPr="002C3453">
              <w:rPr>
                <w:rFonts w:asciiTheme="minorHAnsi" w:hAnsiTheme="minorHAnsi" w:cstheme="minorHAnsi"/>
                <w:sz w:val="22"/>
                <w:szCs w:val="22"/>
              </w:rPr>
              <w:t xml:space="preserve"> при </w:t>
            </w:r>
            <w:r w:rsidRPr="002C3453">
              <w:rPr>
                <w:rFonts w:asciiTheme="minorHAnsi" w:hAnsiTheme="minorHAnsi" w:cstheme="minorHAnsi"/>
                <w:sz w:val="22"/>
                <w:szCs w:val="22"/>
                <w:lang w:val="en-US"/>
              </w:rPr>
              <w:t>i</w:t>
            </w:r>
            <w:r w:rsidRPr="002C3453">
              <w:rPr>
                <w:rFonts w:asciiTheme="minorHAnsi" w:hAnsiTheme="minorHAnsi" w:cstheme="minorHAnsi"/>
                <w:sz w:val="22"/>
                <w:szCs w:val="22"/>
              </w:rPr>
              <w:t>= {1;</w:t>
            </w:r>
            <w:r w:rsidRPr="002C3453">
              <w:rPr>
                <w:rFonts w:asciiTheme="minorHAnsi" w:hAnsiTheme="minorHAnsi" w:cstheme="minorHAnsi"/>
                <w:sz w:val="22"/>
                <w:szCs w:val="22"/>
                <w:lang w:val="en-US"/>
              </w:rPr>
              <w:t>N</w:t>
            </w:r>
            <w:r w:rsidRPr="002C3453">
              <w:rPr>
                <w:rFonts w:asciiTheme="minorHAnsi" w:hAnsiTheme="minorHAnsi" w:cstheme="minorHAnsi"/>
                <w:sz w:val="22"/>
                <w:szCs w:val="22"/>
              </w:rPr>
              <w:t>}  &lt; 90%</w:t>
            </w:r>
          </w:p>
          <w:p w:rsidR="002C3453" w:rsidRPr="002C3453" w:rsidRDefault="002C3453" w:rsidP="003E3720">
            <w:pPr>
              <w:pStyle w:val="a5"/>
              <w:tabs>
                <w:tab w:val="left" w:pos="851"/>
              </w:tabs>
              <w:spacing w:before="120"/>
              <w:rPr>
                <w:rFonts w:asciiTheme="minorHAnsi" w:hAnsiTheme="minorHAnsi" w:cstheme="minorHAnsi"/>
                <w:sz w:val="22"/>
                <w:szCs w:val="22"/>
              </w:rPr>
            </w:pPr>
            <w:r w:rsidRPr="002C3453">
              <w:rPr>
                <w:rFonts w:asciiTheme="minorHAnsi" w:hAnsiTheme="minorHAnsi" w:cstheme="minorHAnsi"/>
                <w:sz w:val="22"/>
                <w:szCs w:val="22"/>
              </w:rPr>
              <w:t xml:space="preserve">Хотя бы для одного </w:t>
            </w:r>
            <w:r w:rsidRPr="002C3453">
              <w:rPr>
                <w:rFonts w:asciiTheme="minorHAnsi" w:hAnsiTheme="minorHAnsi" w:cstheme="minorHAnsi"/>
                <w:sz w:val="22"/>
                <w:szCs w:val="22"/>
                <w:lang w:val="en-US"/>
              </w:rPr>
              <w:t>i</w:t>
            </w:r>
          </w:p>
        </w:tc>
        <w:tc>
          <w:tcPr>
            <w:tcW w:w="5391" w:type="dxa"/>
            <w:shd w:val="clear" w:color="auto" w:fill="auto"/>
          </w:tcPr>
          <w:p w:rsidR="002C3453" w:rsidRPr="002C3453" w:rsidRDefault="002C3453" w:rsidP="003E3720">
            <w:pPr>
              <w:contextualSpacing/>
              <w:rPr>
                <w:rFonts w:cstheme="minorHAnsi"/>
                <w:lang w:eastAsia="ru-RU"/>
              </w:rPr>
            </w:pPr>
            <w:r w:rsidRPr="002C3453">
              <w:rPr>
                <w:rFonts w:cstheme="minorHAnsi"/>
                <w:lang w:eastAsia="ru-RU"/>
              </w:rPr>
              <w:t xml:space="preserve">∑Стоимость i =∑ (Количество Эффективных Презентаций i*Т2i) </w:t>
            </w:r>
          </w:p>
        </w:tc>
      </w:tr>
    </w:tbl>
    <w:p w:rsidR="002C3453" w:rsidRPr="002C3453" w:rsidRDefault="002C3453" w:rsidP="002C3453">
      <w:pPr>
        <w:jc w:val="both"/>
        <w:rPr>
          <w:rFonts w:cstheme="minorHAnsi"/>
          <w:lang w:eastAsia="ru-RU"/>
        </w:rPr>
      </w:pPr>
    </w:p>
    <w:p w:rsidR="002C3453" w:rsidRPr="002C3453" w:rsidRDefault="002C3453" w:rsidP="002C3453">
      <w:pPr>
        <w:jc w:val="both"/>
        <w:rPr>
          <w:rFonts w:cstheme="minorHAnsi"/>
          <w:lang w:eastAsia="ru-RU"/>
        </w:rPr>
      </w:pPr>
      <w:r w:rsidRPr="002C3453">
        <w:rPr>
          <w:rFonts w:cstheme="minorHAnsi"/>
          <w:lang w:eastAsia="ru-RU"/>
        </w:rPr>
        <w:t>где:</w:t>
      </w:r>
    </w:p>
    <w:p w:rsidR="002C3453" w:rsidRPr="002C3453" w:rsidRDefault="002C3453" w:rsidP="002C3453">
      <w:pPr>
        <w:spacing w:before="120"/>
        <w:jc w:val="both"/>
        <w:rPr>
          <w:rFonts w:cstheme="minorHAnsi"/>
          <w:lang w:eastAsia="ru-RU"/>
        </w:rPr>
      </w:pPr>
      <w:r w:rsidRPr="002C3453">
        <w:rPr>
          <w:rFonts w:cstheme="minorHAnsi"/>
          <w:b/>
          <w:lang w:eastAsia="ru-RU"/>
        </w:rPr>
        <w:t>i</w:t>
      </w:r>
      <w:r w:rsidRPr="002C3453">
        <w:rPr>
          <w:rFonts w:cstheme="minorHAnsi"/>
          <w:lang w:eastAsia="ru-RU"/>
        </w:rPr>
        <w:t xml:space="preserve"> – порядковый номер кампании в справочнике CRM-кампаний Заказчика. </w:t>
      </w:r>
    </w:p>
    <w:p w:rsidR="002C3453" w:rsidRPr="002C3453" w:rsidRDefault="002C3453" w:rsidP="002C3453">
      <w:pPr>
        <w:spacing w:before="120"/>
        <w:jc w:val="both"/>
        <w:rPr>
          <w:rFonts w:cstheme="minorHAnsi"/>
          <w:lang w:eastAsia="ru-RU"/>
        </w:rPr>
      </w:pPr>
      <w:r w:rsidRPr="002C3453">
        <w:rPr>
          <w:rFonts w:cstheme="minorHAnsi"/>
          <w:lang w:eastAsia="ru-RU"/>
        </w:rPr>
        <w:t>N – общее количество типов CRM-кампаний Заказчика в Отчетном периоде.</w:t>
      </w:r>
    </w:p>
    <w:p w:rsidR="002C3453" w:rsidRPr="002C3453" w:rsidRDefault="002C3453" w:rsidP="002C3453">
      <w:pPr>
        <w:spacing w:before="120"/>
        <w:jc w:val="both"/>
        <w:rPr>
          <w:rFonts w:cstheme="minorHAnsi"/>
          <w:lang w:eastAsia="ru-RU"/>
        </w:rPr>
      </w:pPr>
      <w:r w:rsidRPr="002C3453">
        <w:rPr>
          <w:rFonts w:cstheme="minorHAnsi"/>
          <w:b/>
          <w:lang w:eastAsia="ru-RU"/>
        </w:rPr>
        <w:t>Kоб i</w:t>
      </w:r>
      <w:r w:rsidRPr="002C3453">
        <w:rPr>
          <w:rFonts w:cstheme="minorHAnsi"/>
          <w:lang w:eastAsia="ru-RU"/>
        </w:rPr>
        <w:t xml:space="preserve"> – доля обработанной базы каждого типа кампании в Отчетном периоде, %. Считается как отношение Объем Обработанной базы</w:t>
      </w:r>
      <w:r w:rsidR="002B1581">
        <w:rPr>
          <w:rFonts w:cstheme="minorHAnsi"/>
          <w:lang w:eastAsia="ru-RU"/>
        </w:rPr>
        <w:t xml:space="preserve"> </w:t>
      </w:r>
      <w:r w:rsidRPr="002C3453">
        <w:rPr>
          <w:rFonts w:cstheme="minorHAnsi"/>
          <w:lang w:eastAsia="ru-RU"/>
        </w:rPr>
        <w:t xml:space="preserve">i, к Объему выгрузки i, умноженное на 100%. </w:t>
      </w:r>
    </w:p>
    <w:p w:rsidR="002C3453" w:rsidRPr="002C3453" w:rsidRDefault="002C3453" w:rsidP="002C3453">
      <w:pPr>
        <w:spacing w:before="120"/>
        <w:jc w:val="both"/>
        <w:rPr>
          <w:rFonts w:cstheme="minorHAnsi"/>
          <w:lang w:eastAsia="ru-RU"/>
        </w:rPr>
      </w:pPr>
      <w:r w:rsidRPr="002C3453">
        <w:rPr>
          <w:rFonts w:cstheme="minorHAnsi"/>
          <w:b/>
          <w:lang w:eastAsia="ru-RU"/>
        </w:rPr>
        <w:t>Kп i</w:t>
      </w:r>
      <w:r w:rsidRPr="002C3453">
        <w:rPr>
          <w:rFonts w:cstheme="minorHAnsi"/>
          <w:lang w:eastAsia="ru-RU"/>
        </w:rPr>
        <w:t xml:space="preserve"> – доля Презентаций по каждому типу кампании в Отчетном периоде, %. Считается как отношение количества Презентаций i</w:t>
      </w:r>
      <w:r w:rsidRPr="002C3453">
        <w:rPr>
          <w:rFonts w:cstheme="minorHAnsi"/>
        </w:rPr>
        <w:t xml:space="preserve"> </w:t>
      </w:r>
      <w:r w:rsidRPr="002C3453">
        <w:rPr>
          <w:rFonts w:cstheme="minorHAnsi"/>
          <w:lang w:eastAsia="ru-RU"/>
        </w:rPr>
        <w:t xml:space="preserve">в Отчетном периоде (состоялся диалог с клиентом и произведена полная или частичная презентация предложения) к Объему выгрузки в Отчетном периоде, умноженное на 100%. </w:t>
      </w:r>
    </w:p>
    <w:p w:rsidR="002C3453" w:rsidRPr="002C3453" w:rsidRDefault="002C3453" w:rsidP="002C3453">
      <w:pPr>
        <w:spacing w:before="120"/>
        <w:jc w:val="both"/>
        <w:rPr>
          <w:rFonts w:cstheme="minorHAnsi"/>
          <w:lang w:eastAsia="ru-RU"/>
        </w:rPr>
      </w:pPr>
      <w:r w:rsidRPr="002C3453">
        <w:rPr>
          <w:rFonts w:cstheme="minorHAnsi"/>
          <w:b/>
          <w:lang w:eastAsia="ru-RU"/>
        </w:rPr>
        <w:t>Количество эффективных презентаций</w:t>
      </w:r>
      <w:r w:rsidRPr="002C3453">
        <w:rPr>
          <w:rFonts w:cstheme="minorHAnsi"/>
          <w:lang w:eastAsia="ru-RU"/>
        </w:rPr>
        <w:t>, шт. определяется как сумма всех эффективных презентаций каждого типа кампаний в период действия предложения, состоявшихся в Отчетном периоде.</w:t>
      </w:r>
    </w:p>
    <w:p w:rsidR="002C3453" w:rsidRPr="002C3453" w:rsidRDefault="002C3453" w:rsidP="002C3453">
      <w:pPr>
        <w:pStyle w:val="a5"/>
        <w:tabs>
          <w:tab w:val="left" w:pos="567"/>
        </w:tabs>
        <w:spacing w:before="120"/>
        <w:rPr>
          <w:rFonts w:asciiTheme="minorHAnsi" w:hAnsiTheme="minorHAnsi" w:cstheme="minorHAnsi"/>
          <w:sz w:val="22"/>
          <w:szCs w:val="22"/>
        </w:rPr>
      </w:pPr>
      <w:r w:rsidRPr="002C3453">
        <w:rPr>
          <w:rFonts w:asciiTheme="minorHAnsi" w:hAnsiTheme="minorHAnsi" w:cstheme="minorHAnsi"/>
          <w:b/>
          <w:sz w:val="22"/>
          <w:szCs w:val="22"/>
        </w:rPr>
        <w:t>Объем выгрузки i</w:t>
      </w:r>
      <w:r w:rsidRPr="002C3453">
        <w:rPr>
          <w:rFonts w:asciiTheme="minorHAnsi" w:hAnsiTheme="minorHAnsi" w:cstheme="minorHAnsi"/>
          <w:sz w:val="22"/>
          <w:szCs w:val="22"/>
        </w:rPr>
        <w:t xml:space="preserve"> – Сумма выгруженных контактов каждого типа кампании в Отчетном периоде, шт. Считается как количество контактов по каждому типу кампании, выгруженных на обзвон, успешно </w:t>
      </w:r>
      <w:r w:rsidRPr="002C3453">
        <w:rPr>
          <w:rFonts w:asciiTheme="minorHAnsi" w:hAnsiTheme="minorHAnsi" w:cstheme="minorHAnsi"/>
          <w:sz w:val="22"/>
          <w:szCs w:val="22"/>
        </w:rPr>
        <w:lastRenderedPageBreak/>
        <w:t>загруженных в базу Исполнителя и не деактивированных Заказчиком до получения результативного отклика.</w:t>
      </w:r>
    </w:p>
    <w:p w:rsidR="002C3453" w:rsidRPr="002C3453" w:rsidRDefault="002C3453" w:rsidP="002C3453">
      <w:pPr>
        <w:spacing w:before="120"/>
        <w:jc w:val="both"/>
        <w:rPr>
          <w:rFonts w:cstheme="minorHAnsi"/>
          <w:lang w:eastAsia="ru-RU"/>
        </w:rPr>
      </w:pPr>
      <w:r w:rsidRPr="002C3453">
        <w:rPr>
          <w:rFonts w:cstheme="minorHAnsi"/>
          <w:b/>
          <w:lang w:eastAsia="ru-RU"/>
        </w:rPr>
        <w:t>Объем Обработанной базы i</w:t>
      </w:r>
      <w:r w:rsidRPr="002C3453">
        <w:rPr>
          <w:rFonts w:cstheme="minorHAnsi"/>
          <w:lang w:eastAsia="ru-RU"/>
        </w:rPr>
        <w:t xml:space="preserve"> - количество обработанных контактов по каждому типу кампании в Отчетном периоде, считается по количеству контактов с финальными статусами, переданными в банк до окончания Отчетного периода, за исключением финального статуса = "не звонили".</w:t>
      </w:r>
    </w:p>
    <w:p w:rsidR="002C3453" w:rsidRPr="002C3453" w:rsidRDefault="002C3453" w:rsidP="002C3453">
      <w:pPr>
        <w:pStyle w:val="a5"/>
        <w:tabs>
          <w:tab w:val="left" w:pos="567"/>
        </w:tabs>
        <w:spacing w:before="120"/>
        <w:rPr>
          <w:rFonts w:asciiTheme="minorHAnsi" w:hAnsiTheme="minorHAnsi" w:cstheme="minorHAnsi"/>
          <w:sz w:val="22"/>
          <w:szCs w:val="22"/>
        </w:rPr>
      </w:pPr>
      <w:r w:rsidRPr="002C3453">
        <w:rPr>
          <w:rFonts w:asciiTheme="minorHAnsi" w:hAnsiTheme="minorHAnsi" w:cstheme="minorHAnsi"/>
          <w:b/>
          <w:sz w:val="22"/>
          <w:szCs w:val="22"/>
        </w:rPr>
        <w:t>Средневзвешенная доля обработанной базы, %</w:t>
      </w:r>
      <w:r w:rsidRPr="002C3453">
        <w:rPr>
          <w:rFonts w:asciiTheme="minorHAnsi" w:hAnsiTheme="minorHAnsi" w:cstheme="minorHAnsi"/>
          <w:sz w:val="22"/>
          <w:szCs w:val="22"/>
        </w:rPr>
        <w:t xml:space="preserve"> - средневзвешенная величина доли Исходящих вызовов по накопленным статистическим данным Заказчика за истекшие периоды с учетом процентов распределения каждого типа кампаний в общем объеме выгруженных данных.</w:t>
      </w:r>
    </w:p>
    <w:p w:rsidR="002C3453" w:rsidRPr="002C3453" w:rsidRDefault="002C3453" w:rsidP="002C3453">
      <w:pPr>
        <w:pStyle w:val="a5"/>
        <w:tabs>
          <w:tab w:val="left" w:pos="567"/>
        </w:tabs>
        <w:spacing w:before="120"/>
        <w:rPr>
          <w:rFonts w:asciiTheme="minorHAnsi" w:hAnsiTheme="minorHAnsi" w:cstheme="minorHAnsi"/>
          <w:sz w:val="22"/>
          <w:szCs w:val="22"/>
        </w:rPr>
      </w:pPr>
      <w:r w:rsidRPr="002C3453">
        <w:rPr>
          <w:rFonts w:asciiTheme="minorHAnsi" w:hAnsiTheme="minorHAnsi" w:cstheme="minorHAnsi"/>
          <w:b/>
          <w:sz w:val="22"/>
          <w:szCs w:val="22"/>
        </w:rPr>
        <w:t>Средневзвешенная доля Презентаций, %</w:t>
      </w:r>
      <w:r w:rsidRPr="002C3453">
        <w:rPr>
          <w:rFonts w:asciiTheme="minorHAnsi" w:hAnsiTheme="minorHAnsi" w:cstheme="minorHAnsi"/>
          <w:sz w:val="22"/>
          <w:szCs w:val="22"/>
        </w:rPr>
        <w:t xml:space="preserve"> - средневзвешенная величина доли Презентаций по накопленным статистическим данным Заказчика за истекшие периоды с учетом процентов распределения каждого типа кампаний в общем объеме выгруженных данных.</w:t>
      </w:r>
    </w:p>
    <w:p w:rsidR="002C3453" w:rsidRPr="002C3453" w:rsidRDefault="002C3453" w:rsidP="002C3453">
      <w:pPr>
        <w:pStyle w:val="a5"/>
        <w:tabs>
          <w:tab w:val="left" w:pos="567"/>
        </w:tabs>
        <w:spacing w:before="120"/>
        <w:rPr>
          <w:rFonts w:asciiTheme="minorHAnsi" w:hAnsiTheme="minorHAnsi" w:cstheme="minorHAnsi"/>
          <w:sz w:val="22"/>
          <w:szCs w:val="22"/>
        </w:rPr>
      </w:pPr>
      <w:r w:rsidRPr="002C3453">
        <w:rPr>
          <w:rFonts w:asciiTheme="minorHAnsi" w:hAnsiTheme="minorHAnsi" w:cstheme="minorHAnsi"/>
          <w:b/>
          <w:sz w:val="22"/>
          <w:szCs w:val="22"/>
        </w:rPr>
        <w:t>Средневзвешенная доля Эффективных презентаций, %</w:t>
      </w:r>
      <w:r w:rsidRPr="002C3453">
        <w:rPr>
          <w:rFonts w:asciiTheme="minorHAnsi" w:hAnsiTheme="minorHAnsi" w:cstheme="minorHAnsi"/>
          <w:sz w:val="22"/>
          <w:szCs w:val="22"/>
        </w:rPr>
        <w:t xml:space="preserve"> - средневзвешенная величина доли Эффективных презентаций по накопленным статистическим данным Заказчика за истекшие периоды с учетом процентов распределения каждого типа кампаний в общем объеме выгруженных данных.</w:t>
      </w:r>
    </w:p>
    <w:p w:rsidR="002C3453" w:rsidRPr="002C3453" w:rsidRDefault="002C3453" w:rsidP="002C3453">
      <w:pPr>
        <w:pStyle w:val="a5"/>
        <w:tabs>
          <w:tab w:val="left" w:pos="567"/>
        </w:tabs>
        <w:spacing w:before="120"/>
        <w:rPr>
          <w:rFonts w:asciiTheme="minorHAnsi" w:hAnsiTheme="minorHAnsi" w:cstheme="minorHAnsi"/>
          <w:sz w:val="22"/>
          <w:szCs w:val="22"/>
        </w:rPr>
      </w:pPr>
      <w:r w:rsidRPr="002C3453">
        <w:rPr>
          <w:rFonts w:asciiTheme="minorHAnsi" w:hAnsiTheme="minorHAnsi" w:cstheme="minorHAnsi"/>
          <w:b/>
          <w:sz w:val="22"/>
          <w:szCs w:val="22"/>
        </w:rPr>
        <w:t>Средневзвешенная предельная стоимость одной Эффективной презентации, руб.</w:t>
      </w:r>
      <w:r w:rsidRPr="002C3453">
        <w:rPr>
          <w:rFonts w:asciiTheme="minorHAnsi" w:hAnsiTheme="minorHAnsi" w:cstheme="minorHAnsi"/>
          <w:sz w:val="22"/>
          <w:szCs w:val="22"/>
        </w:rPr>
        <w:t xml:space="preserve"> - средневзвешенная величина стоимости одной Эффективных презентаций </w:t>
      </w:r>
      <w:r w:rsidRPr="002C3453">
        <w:rPr>
          <w:rFonts w:asciiTheme="minorHAnsi" w:hAnsiTheme="minorHAnsi" w:cstheme="minorHAnsi"/>
          <w:sz w:val="22"/>
          <w:szCs w:val="22"/>
          <w:lang w:val="en-US"/>
        </w:rPr>
        <w:t>T</w:t>
      </w:r>
      <w:r w:rsidRPr="002C3453">
        <w:rPr>
          <w:rFonts w:asciiTheme="minorHAnsi" w:hAnsiTheme="minorHAnsi" w:cstheme="minorHAnsi"/>
          <w:sz w:val="22"/>
          <w:szCs w:val="22"/>
        </w:rPr>
        <w:t>2 по накопленным статистическим данным Заказчика за истекшие периоды с учетом процентов распределения каждого типа кампаний в общем объеме выгруженных данных.</w:t>
      </w:r>
    </w:p>
    <w:p w:rsidR="002C3453" w:rsidRPr="002C3453" w:rsidRDefault="002C3453" w:rsidP="002C3453">
      <w:pPr>
        <w:spacing w:before="120"/>
        <w:jc w:val="both"/>
        <w:rPr>
          <w:rFonts w:cstheme="minorHAnsi"/>
          <w:lang w:eastAsia="ru-RU"/>
        </w:rPr>
      </w:pPr>
      <w:r w:rsidRPr="002C3453">
        <w:rPr>
          <w:rFonts w:cstheme="minorHAnsi"/>
          <w:b/>
          <w:lang w:eastAsia="ru-RU"/>
        </w:rPr>
        <w:t>Стоимость i</w:t>
      </w:r>
      <w:r w:rsidRPr="002C3453">
        <w:rPr>
          <w:rFonts w:cstheme="minorHAnsi"/>
          <w:lang w:eastAsia="ru-RU"/>
        </w:rPr>
        <w:t xml:space="preserve"> – сумма Услуг по каждому типу кампании за Отчетный период (месяц), руб.</w:t>
      </w:r>
    </w:p>
    <w:p w:rsidR="002C3453" w:rsidRPr="002C3453" w:rsidRDefault="002C3453" w:rsidP="002C3453">
      <w:pPr>
        <w:jc w:val="both"/>
        <w:rPr>
          <w:rFonts w:cstheme="minorHAnsi"/>
          <w:lang w:eastAsia="ru-RU"/>
        </w:rPr>
      </w:pPr>
      <w:r w:rsidRPr="002C3453">
        <w:rPr>
          <w:rFonts w:cstheme="minorHAnsi"/>
          <w:b/>
          <w:lang w:eastAsia="ru-RU"/>
        </w:rPr>
        <w:t>T1</w:t>
      </w:r>
      <w:r w:rsidRPr="002C3453">
        <w:rPr>
          <w:rFonts w:cstheme="minorHAnsi"/>
          <w:lang w:eastAsia="ru-RU"/>
        </w:rPr>
        <w:t xml:space="preserve"> – стоимость 1 (Одного) Исходящего вызова, не зависит от типа кампании, руб., Представлена в Приложении №2 к Договору.</w:t>
      </w:r>
    </w:p>
    <w:p w:rsidR="002C3453" w:rsidRPr="002C3453" w:rsidRDefault="002C3453" w:rsidP="002C3453">
      <w:pPr>
        <w:jc w:val="both"/>
        <w:rPr>
          <w:rFonts w:cstheme="minorHAnsi"/>
          <w:lang w:eastAsia="ru-RU"/>
        </w:rPr>
      </w:pPr>
      <w:r w:rsidRPr="002C3453">
        <w:rPr>
          <w:rFonts w:cstheme="minorHAnsi"/>
          <w:b/>
          <w:lang w:eastAsia="ru-RU"/>
        </w:rPr>
        <w:t>T2i</w:t>
      </w:r>
      <w:r w:rsidRPr="002C3453">
        <w:rPr>
          <w:rFonts w:cstheme="minorHAnsi"/>
          <w:lang w:eastAsia="ru-RU"/>
        </w:rPr>
        <w:t xml:space="preserve"> – стоимость 1 (Одной) Эффективной презентации каждого типа кампании, руб., Представлена в Приложении №2 к Договору.</w:t>
      </w:r>
    </w:p>
    <w:p w:rsidR="002C3453" w:rsidRPr="002C3453" w:rsidRDefault="002C3453" w:rsidP="002C3453">
      <w:pPr>
        <w:jc w:val="both"/>
        <w:rPr>
          <w:rFonts w:cstheme="minorHAnsi"/>
          <w:lang w:eastAsia="ru-RU"/>
        </w:rPr>
      </w:pPr>
    </w:p>
    <w:p w:rsidR="00293CEC" w:rsidRPr="00594334" w:rsidRDefault="00293CEC" w:rsidP="00594334">
      <w:pPr>
        <w:rPr>
          <w:b/>
        </w:rPr>
      </w:pPr>
      <w:r w:rsidRPr="00594334">
        <w:rPr>
          <w:b/>
        </w:rPr>
        <w:t>ОБРАБОТКА ПЕРСОНАЛЬНЫХ ДАННЫХ</w:t>
      </w:r>
    </w:p>
    <w:p w:rsidR="00293CEC" w:rsidRPr="00EE7D67"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 xml:space="preserve">В процессе </w:t>
      </w:r>
      <w:r w:rsidR="007D09A6">
        <w:rPr>
          <w:rFonts w:ascii="Calibri" w:eastAsiaTheme="minorEastAsia" w:hAnsi="Calibri" w:cs="Arial"/>
          <w:color w:val="000000"/>
          <w:sz w:val="22"/>
          <w:szCs w:val="21"/>
        </w:rPr>
        <w:t xml:space="preserve">оказания услуг Заказчик передает Исполнителю </w:t>
      </w:r>
      <w:r w:rsidRPr="00EE7D67">
        <w:rPr>
          <w:rFonts w:ascii="Calibri" w:eastAsiaTheme="minorEastAsia" w:hAnsi="Calibri" w:cs="Arial"/>
          <w:color w:val="000000"/>
          <w:sz w:val="22"/>
          <w:szCs w:val="21"/>
        </w:rPr>
        <w:t xml:space="preserve">информацию, относящуюся к </w:t>
      </w:r>
      <w:r w:rsidR="007D09A6">
        <w:rPr>
          <w:rFonts w:ascii="Calibri" w:eastAsiaTheme="minorEastAsia" w:hAnsi="Calibri" w:cs="Arial"/>
          <w:color w:val="000000"/>
          <w:sz w:val="22"/>
          <w:szCs w:val="21"/>
        </w:rPr>
        <w:t>категории персональных данных клиентов Заказчика.</w:t>
      </w:r>
      <w:r w:rsidRPr="00EE7D67">
        <w:rPr>
          <w:rFonts w:ascii="Calibri" w:eastAsiaTheme="minorEastAsia" w:hAnsi="Calibri" w:cs="Arial"/>
          <w:color w:val="000000"/>
          <w:sz w:val="22"/>
          <w:szCs w:val="21"/>
        </w:rPr>
        <w:t xml:space="preserve"> </w:t>
      </w:r>
    </w:p>
    <w:p w:rsidR="007D09A6" w:rsidRDefault="00293CEC" w:rsidP="0084159A">
      <w:pPr>
        <w:pStyle w:val="a5"/>
        <w:tabs>
          <w:tab w:val="left" w:pos="567"/>
        </w:tabs>
        <w:spacing w:before="120" w:after="240"/>
        <w:rPr>
          <w:rFonts w:ascii="Calibri" w:eastAsiaTheme="minorEastAsia" w:hAnsi="Calibri" w:cs="Arial"/>
          <w:color w:val="000000"/>
          <w:sz w:val="22"/>
          <w:szCs w:val="21"/>
        </w:rPr>
      </w:pPr>
      <w:r w:rsidRPr="00EE7D67">
        <w:rPr>
          <w:rFonts w:ascii="Calibri" w:eastAsiaTheme="minorEastAsia" w:hAnsi="Calibri" w:cs="Arial"/>
          <w:color w:val="000000"/>
          <w:sz w:val="22"/>
          <w:szCs w:val="21"/>
        </w:rPr>
        <w:t xml:space="preserve">Обработка Персональных </w:t>
      </w:r>
      <w:r w:rsidR="007D09A6">
        <w:rPr>
          <w:rFonts w:ascii="Calibri" w:eastAsiaTheme="minorEastAsia" w:hAnsi="Calibri" w:cs="Arial"/>
          <w:color w:val="000000"/>
          <w:sz w:val="22"/>
          <w:szCs w:val="21"/>
        </w:rPr>
        <w:t xml:space="preserve">данных </w:t>
      </w:r>
      <w:r w:rsidR="00F85808">
        <w:rPr>
          <w:rFonts w:ascii="Calibri" w:eastAsiaTheme="minorEastAsia" w:hAnsi="Calibri" w:cs="Arial"/>
          <w:color w:val="000000"/>
          <w:sz w:val="22"/>
          <w:szCs w:val="21"/>
        </w:rPr>
        <w:t>Клиентов</w:t>
      </w:r>
      <w:r w:rsidR="007D09A6">
        <w:rPr>
          <w:rFonts w:ascii="Calibri" w:eastAsiaTheme="minorEastAsia" w:hAnsi="Calibri" w:cs="Arial"/>
          <w:color w:val="000000"/>
          <w:sz w:val="22"/>
          <w:szCs w:val="21"/>
        </w:rPr>
        <w:t xml:space="preserve"> </w:t>
      </w:r>
      <w:r w:rsidRPr="00EE7D67">
        <w:rPr>
          <w:rFonts w:ascii="Calibri" w:eastAsiaTheme="minorEastAsia" w:hAnsi="Calibri" w:cs="Arial"/>
          <w:color w:val="000000"/>
          <w:sz w:val="22"/>
          <w:szCs w:val="21"/>
        </w:rPr>
        <w:t xml:space="preserve">возможна исключительно в целях </w:t>
      </w:r>
      <w:r w:rsidR="007D09A6">
        <w:rPr>
          <w:rFonts w:ascii="Calibri" w:eastAsiaTheme="minorEastAsia" w:hAnsi="Calibri" w:cs="Arial"/>
          <w:color w:val="000000"/>
          <w:sz w:val="22"/>
          <w:szCs w:val="21"/>
        </w:rPr>
        <w:t>оказания услуг и исполнения обязательств по договору</w:t>
      </w:r>
      <w:r w:rsidRPr="00EE7D67">
        <w:rPr>
          <w:rFonts w:ascii="Calibri" w:eastAsiaTheme="minorEastAsia" w:hAnsi="Calibri" w:cs="Arial"/>
          <w:color w:val="000000"/>
          <w:sz w:val="22"/>
          <w:szCs w:val="21"/>
        </w:rPr>
        <w:t xml:space="preserve">, выполнения Договора, а также в целях и случаях, предусмотренных законодательством Российской Федерации (выполнение требований о противодействии отмыванию доходов, полученных преступным путем, осуществление финансового или валютного контроля). </w:t>
      </w:r>
    </w:p>
    <w:p w:rsidR="003D5AC8" w:rsidRPr="006D6CBD" w:rsidRDefault="003D5AC8" w:rsidP="006D6CBD">
      <w:pPr>
        <w:jc w:val="both"/>
        <w:rPr>
          <w:rFonts w:ascii="Calibri" w:eastAsiaTheme="minorEastAsia" w:hAnsi="Calibri" w:cs="Arial"/>
          <w:color w:val="000000"/>
          <w:szCs w:val="21"/>
          <w:lang w:eastAsia="ru-RU"/>
        </w:rPr>
      </w:pPr>
      <w:r>
        <w:rPr>
          <w:rFonts w:ascii="Calibri" w:eastAsiaTheme="minorEastAsia" w:hAnsi="Calibri" w:cs="Arial"/>
          <w:color w:val="000000"/>
          <w:szCs w:val="21"/>
          <w:lang w:eastAsia="ru-RU"/>
        </w:rPr>
        <w:t>Исполнитель</w:t>
      </w:r>
      <w:r w:rsidRPr="00EE7D67">
        <w:rPr>
          <w:rFonts w:ascii="Calibri" w:eastAsiaTheme="minorEastAsia" w:hAnsi="Calibri" w:cs="Arial"/>
          <w:color w:val="000000"/>
          <w:szCs w:val="21"/>
          <w:lang w:eastAsia="ru-RU"/>
        </w:rPr>
        <w:t xml:space="preserve"> обязан</w:t>
      </w:r>
      <w:r w:rsidRPr="006D6CBD">
        <w:rPr>
          <w:rFonts w:ascii="Calibri" w:eastAsiaTheme="minorEastAsia" w:hAnsi="Calibri" w:cs="Arial"/>
          <w:color w:val="000000"/>
          <w:szCs w:val="21"/>
          <w:lang w:eastAsia="ru-RU"/>
        </w:rPr>
        <w:t xml:space="preserve"> </w:t>
      </w:r>
      <w:r>
        <w:rPr>
          <w:rFonts w:ascii="Calibri" w:eastAsiaTheme="minorEastAsia" w:hAnsi="Calibri" w:cs="Arial"/>
          <w:color w:val="000000"/>
          <w:szCs w:val="21"/>
          <w:lang w:eastAsia="ru-RU"/>
        </w:rPr>
        <w:t>с</w:t>
      </w:r>
      <w:r w:rsidRPr="006D6CBD">
        <w:rPr>
          <w:rFonts w:ascii="Calibri" w:eastAsiaTheme="minorEastAsia" w:hAnsi="Calibri" w:cs="Arial"/>
          <w:color w:val="000000"/>
          <w:szCs w:val="21"/>
          <w:lang w:eastAsia="ru-RU"/>
        </w:rPr>
        <w:t>облюдать принципы и правила обработки персональных данных, предусмотренные Федеральным законом от 27.07.2006 г. № 152-ФЗ "О персональных данных".</w:t>
      </w:r>
    </w:p>
    <w:p w:rsidR="003D5AC8" w:rsidRDefault="003D5AC8" w:rsidP="00293CEC">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w:t>
      </w:r>
      <w:r w:rsidRPr="00EE7D67">
        <w:rPr>
          <w:rFonts w:ascii="Calibri" w:eastAsiaTheme="minorEastAsia" w:hAnsi="Calibri" w:cs="Arial"/>
          <w:color w:val="000000"/>
          <w:sz w:val="22"/>
          <w:szCs w:val="21"/>
        </w:rPr>
        <w:t xml:space="preserve"> обязан</w:t>
      </w:r>
      <w:r w:rsidRPr="006D6CBD">
        <w:rPr>
          <w:rFonts w:ascii="Calibri" w:eastAsiaTheme="minorEastAsia" w:hAnsi="Calibri" w:cs="Arial"/>
          <w:color w:val="000000"/>
          <w:sz w:val="22"/>
          <w:szCs w:val="21"/>
        </w:rPr>
        <w:t xml:space="preserve"> осуществлять обработку персональных данных в соответствии с целями, определенными Сторонами</w:t>
      </w:r>
      <w:r w:rsidR="004F2759">
        <w:rPr>
          <w:rFonts w:ascii="Calibri" w:eastAsiaTheme="minorEastAsia" w:hAnsi="Calibri" w:cs="Arial"/>
          <w:color w:val="000000"/>
          <w:sz w:val="22"/>
          <w:szCs w:val="21"/>
        </w:rPr>
        <w:t>.</w:t>
      </w:r>
    </w:p>
    <w:p w:rsidR="00293CEC" w:rsidRPr="00EE7D67"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 xml:space="preserve">Обработка </w:t>
      </w:r>
      <w:r w:rsidR="003D5AC8">
        <w:rPr>
          <w:rFonts w:ascii="Calibri" w:eastAsiaTheme="minorEastAsia" w:hAnsi="Calibri" w:cs="Arial"/>
          <w:color w:val="000000"/>
          <w:sz w:val="22"/>
          <w:szCs w:val="21"/>
        </w:rPr>
        <w:t>П</w:t>
      </w:r>
      <w:r w:rsidRPr="00EE7D67">
        <w:rPr>
          <w:rFonts w:ascii="Calibri" w:eastAsiaTheme="minorEastAsia" w:hAnsi="Calibri" w:cs="Arial"/>
          <w:color w:val="000000"/>
          <w:sz w:val="22"/>
          <w:szCs w:val="21"/>
        </w:rPr>
        <w:t>ерсональных данных в иных целях, если Сторона, передающая Персональные данные, в письменной форме или каким-либо другим способом прямо не поручил</w:t>
      </w:r>
      <w:r w:rsidR="00E52AB9">
        <w:rPr>
          <w:rFonts w:ascii="Calibri" w:eastAsiaTheme="minorEastAsia" w:hAnsi="Calibri" w:cs="Arial"/>
          <w:color w:val="000000"/>
          <w:sz w:val="22"/>
          <w:szCs w:val="21"/>
        </w:rPr>
        <w:t>а</w:t>
      </w:r>
      <w:r w:rsidRPr="00EE7D67">
        <w:rPr>
          <w:rFonts w:ascii="Calibri" w:eastAsiaTheme="minorEastAsia" w:hAnsi="Calibri" w:cs="Arial"/>
          <w:color w:val="000000"/>
          <w:sz w:val="22"/>
          <w:szCs w:val="21"/>
        </w:rPr>
        <w:t xml:space="preserve"> это сделать, является недопустимым.</w:t>
      </w:r>
    </w:p>
    <w:p w:rsidR="003D5AC8" w:rsidRDefault="007D09A6" w:rsidP="003D5AC8">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 xml:space="preserve">Исполнитель с целью </w:t>
      </w:r>
      <w:r w:rsidR="004F2759">
        <w:rPr>
          <w:rFonts w:ascii="Calibri" w:eastAsiaTheme="minorEastAsia" w:hAnsi="Calibri" w:cs="Arial"/>
          <w:color w:val="000000"/>
          <w:sz w:val="22"/>
          <w:szCs w:val="21"/>
        </w:rPr>
        <w:t xml:space="preserve">оказания </w:t>
      </w:r>
      <w:r w:rsidR="00EA46CF">
        <w:rPr>
          <w:rFonts w:ascii="Calibri" w:eastAsiaTheme="minorEastAsia" w:hAnsi="Calibri" w:cs="Arial"/>
          <w:color w:val="000000"/>
          <w:sz w:val="22"/>
          <w:szCs w:val="21"/>
        </w:rPr>
        <w:t>услуг</w:t>
      </w:r>
      <w:r w:rsidR="00EA46CF" w:rsidRPr="00EE7D67">
        <w:rPr>
          <w:rFonts w:ascii="Calibri" w:eastAsiaTheme="minorEastAsia" w:hAnsi="Calibri" w:cs="Arial"/>
          <w:color w:val="000000"/>
          <w:sz w:val="22"/>
          <w:szCs w:val="21"/>
        </w:rPr>
        <w:t xml:space="preserve"> выполняет</w:t>
      </w:r>
      <w:r w:rsidR="00293CEC" w:rsidRPr="00EE7D67">
        <w:rPr>
          <w:rFonts w:ascii="Calibri" w:eastAsiaTheme="minorEastAsia" w:hAnsi="Calibri" w:cs="Arial"/>
          <w:color w:val="000000"/>
          <w:sz w:val="22"/>
          <w:szCs w:val="21"/>
        </w:rPr>
        <w:t xml:space="preserve"> поручения Заказчика по обработке Персональных данных, а именно: сбор, запись, систематизацию, накопление, хранение, уточнение (обновление, изменение), извлечение, использование, предоставление, обезличивание, удаление, уничтожение Персональных данных.</w:t>
      </w:r>
      <w:r w:rsidR="003D5AC8" w:rsidRPr="003D5AC8">
        <w:rPr>
          <w:rFonts w:ascii="Calibri" w:eastAsiaTheme="minorEastAsia" w:hAnsi="Calibri" w:cs="Arial"/>
          <w:color w:val="000000"/>
          <w:sz w:val="22"/>
          <w:szCs w:val="21"/>
        </w:rPr>
        <w:t xml:space="preserve"> </w:t>
      </w:r>
    </w:p>
    <w:p w:rsidR="003D5AC8" w:rsidRPr="00EE7D67" w:rsidRDefault="003D5AC8" w:rsidP="003D5AC8">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lastRenderedPageBreak/>
        <w:t>Исполнитель</w:t>
      </w:r>
      <w:r w:rsidRPr="00EE7D67">
        <w:rPr>
          <w:rFonts w:ascii="Calibri" w:eastAsiaTheme="minorEastAsia" w:hAnsi="Calibri" w:cs="Arial"/>
          <w:color w:val="000000"/>
          <w:sz w:val="22"/>
          <w:szCs w:val="21"/>
        </w:rPr>
        <w:t xml:space="preserve"> обязан обеспечить хранение Персональных данных</w:t>
      </w:r>
      <w:r>
        <w:rPr>
          <w:rFonts w:ascii="Calibri" w:eastAsiaTheme="minorEastAsia" w:hAnsi="Calibri" w:cs="Arial"/>
          <w:color w:val="000000"/>
          <w:sz w:val="22"/>
          <w:szCs w:val="21"/>
        </w:rPr>
        <w:t xml:space="preserve"> </w:t>
      </w:r>
      <w:r w:rsidRPr="003B5858">
        <w:rPr>
          <w:rFonts w:ascii="Calibri" w:eastAsiaTheme="minorEastAsia" w:hAnsi="Calibri" w:cs="Arial"/>
          <w:color w:val="000000"/>
          <w:sz w:val="22"/>
          <w:szCs w:val="21"/>
        </w:rPr>
        <w:t xml:space="preserve">в форме, позволяющей определить субъект </w:t>
      </w:r>
      <w:r w:rsidR="00765109" w:rsidRPr="003B5858">
        <w:rPr>
          <w:rFonts w:ascii="Calibri" w:eastAsiaTheme="minorEastAsia" w:hAnsi="Calibri" w:cs="Arial"/>
          <w:color w:val="000000"/>
          <w:sz w:val="22"/>
          <w:szCs w:val="21"/>
        </w:rPr>
        <w:t>П</w:t>
      </w:r>
      <w:r w:rsidRPr="003B5858">
        <w:rPr>
          <w:rFonts w:ascii="Calibri" w:eastAsiaTheme="minorEastAsia" w:hAnsi="Calibri" w:cs="Arial"/>
          <w:color w:val="000000"/>
          <w:sz w:val="22"/>
          <w:szCs w:val="21"/>
        </w:rPr>
        <w:t>ерсональных данных</w:t>
      </w:r>
      <w:r w:rsidRPr="00EE7D67">
        <w:rPr>
          <w:rFonts w:ascii="Calibri" w:eastAsiaTheme="minorEastAsia" w:hAnsi="Calibri" w:cs="Arial"/>
          <w:color w:val="000000"/>
          <w:sz w:val="22"/>
          <w:szCs w:val="21"/>
        </w:rPr>
        <w:t xml:space="preserve"> до тех пор, пока это необходимо для достижения целей, для которых таки</w:t>
      </w:r>
      <w:r>
        <w:rPr>
          <w:rFonts w:ascii="Calibri" w:eastAsiaTheme="minorEastAsia" w:hAnsi="Calibri" w:cs="Arial"/>
          <w:color w:val="000000"/>
          <w:sz w:val="22"/>
          <w:szCs w:val="21"/>
        </w:rPr>
        <w:t xml:space="preserve">е данные были предоставлены по </w:t>
      </w:r>
      <w:r w:rsidR="00E52AB9">
        <w:rPr>
          <w:rFonts w:ascii="Calibri" w:eastAsiaTheme="minorEastAsia" w:hAnsi="Calibri" w:cs="Arial"/>
          <w:color w:val="000000"/>
          <w:sz w:val="22"/>
          <w:szCs w:val="21"/>
        </w:rPr>
        <w:t>д</w:t>
      </w:r>
      <w:r w:rsidRPr="00EE7D67">
        <w:rPr>
          <w:rFonts w:ascii="Calibri" w:eastAsiaTheme="minorEastAsia" w:hAnsi="Calibri" w:cs="Arial"/>
          <w:color w:val="000000"/>
          <w:sz w:val="22"/>
          <w:szCs w:val="21"/>
        </w:rPr>
        <w:t>оговору, или до тех пор, пока это требуется законодательством Российской Федерации.</w:t>
      </w:r>
    </w:p>
    <w:p w:rsidR="00293CEC" w:rsidRDefault="007D09A6" w:rsidP="00293CEC">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Заказчик</w:t>
      </w:r>
      <w:r w:rsidR="00293CEC" w:rsidRPr="00EE7D67">
        <w:rPr>
          <w:rFonts w:ascii="Calibri" w:eastAsiaTheme="minorEastAsia" w:hAnsi="Calibri" w:cs="Arial"/>
          <w:color w:val="000000"/>
          <w:sz w:val="22"/>
          <w:szCs w:val="21"/>
        </w:rPr>
        <w:t xml:space="preserve"> гарантируют, что осуществление действий в отношении Персональных данных согласовано с субъектами Персональных данных. </w:t>
      </w:r>
      <w:r>
        <w:rPr>
          <w:rFonts w:ascii="Calibri" w:eastAsiaTheme="minorEastAsia" w:hAnsi="Calibri" w:cs="Arial"/>
          <w:color w:val="000000"/>
          <w:sz w:val="22"/>
          <w:szCs w:val="21"/>
        </w:rPr>
        <w:t>Заказчик</w:t>
      </w:r>
      <w:r w:rsidR="00293CEC" w:rsidRPr="00EE7D67">
        <w:rPr>
          <w:rFonts w:ascii="Calibri" w:eastAsiaTheme="minorEastAsia" w:hAnsi="Calibri" w:cs="Arial"/>
          <w:color w:val="000000"/>
          <w:sz w:val="22"/>
          <w:szCs w:val="21"/>
        </w:rPr>
        <w:t>, передающ</w:t>
      </w:r>
      <w:r>
        <w:rPr>
          <w:rFonts w:ascii="Calibri" w:eastAsiaTheme="minorEastAsia" w:hAnsi="Calibri" w:cs="Arial"/>
          <w:color w:val="000000"/>
          <w:sz w:val="22"/>
          <w:szCs w:val="21"/>
        </w:rPr>
        <w:t>ий</w:t>
      </w:r>
      <w:r w:rsidR="00293CEC" w:rsidRPr="00EE7D67">
        <w:rPr>
          <w:rFonts w:ascii="Calibri" w:eastAsiaTheme="minorEastAsia" w:hAnsi="Calibri" w:cs="Arial"/>
          <w:color w:val="000000"/>
          <w:sz w:val="22"/>
          <w:szCs w:val="21"/>
        </w:rPr>
        <w:t xml:space="preserve"> Персональные данные </w:t>
      </w:r>
      <w:r>
        <w:rPr>
          <w:rFonts w:ascii="Calibri" w:eastAsiaTheme="minorEastAsia" w:hAnsi="Calibri" w:cs="Arial"/>
          <w:color w:val="000000"/>
          <w:sz w:val="22"/>
          <w:szCs w:val="21"/>
        </w:rPr>
        <w:t>Исполнителю</w:t>
      </w:r>
      <w:r w:rsidR="00293CEC" w:rsidRPr="00EE7D67">
        <w:rPr>
          <w:rFonts w:ascii="Calibri" w:eastAsiaTheme="minorEastAsia" w:hAnsi="Calibri" w:cs="Arial"/>
          <w:color w:val="000000"/>
          <w:sz w:val="22"/>
          <w:szCs w:val="21"/>
        </w:rPr>
        <w:t xml:space="preserve">, обязан по требованию </w:t>
      </w:r>
      <w:r>
        <w:rPr>
          <w:rFonts w:ascii="Calibri" w:eastAsiaTheme="minorEastAsia" w:hAnsi="Calibri" w:cs="Arial"/>
          <w:color w:val="000000"/>
          <w:sz w:val="22"/>
          <w:szCs w:val="21"/>
        </w:rPr>
        <w:t>Исполнителя</w:t>
      </w:r>
      <w:r w:rsidR="00293CEC" w:rsidRPr="00EE7D67">
        <w:rPr>
          <w:rFonts w:ascii="Calibri" w:eastAsiaTheme="minorEastAsia" w:hAnsi="Calibri" w:cs="Arial"/>
          <w:color w:val="000000"/>
          <w:sz w:val="22"/>
          <w:szCs w:val="21"/>
        </w:rPr>
        <w:t xml:space="preserve"> предоставить доказательство получения согласия субъектов Персональных данных на обработку их Персональных данных.</w:t>
      </w:r>
    </w:p>
    <w:p w:rsidR="00765109" w:rsidRDefault="00765109" w:rsidP="00293CEC">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Исполнитель, в</w:t>
      </w:r>
      <w:r w:rsidRPr="003B5858">
        <w:rPr>
          <w:rFonts w:ascii="Calibri" w:eastAsiaTheme="minorEastAsia" w:hAnsi="Calibri" w:cs="Arial"/>
          <w:color w:val="000000"/>
          <w:sz w:val="22"/>
          <w:szCs w:val="21"/>
        </w:rPr>
        <w:t xml:space="preserve"> случае выявления неправомерной обработки </w:t>
      </w:r>
      <w:r>
        <w:rPr>
          <w:rFonts w:ascii="Calibri" w:eastAsiaTheme="minorEastAsia" w:hAnsi="Calibri" w:cs="Arial"/>
          <w:color w:val="000000"/>
          <w:sz w:val="22"/>
          <w:szCs w:val="21"/>
        </w:rPr>
        <w:t>П</w:t>
      </w:r>
      <w:r w:rsidRPr="003B5858">
        <w:rPr>
          <w:rFonts w:ascii="Calibri" w:eastAsiaTheme="minorEastAsia" w:hAnsi="Calibri" w:cs="Arial"/>
          <w:color w:val="000000"/>
          <w:sz w:val="22"/>
          <w:szCs w:val="21"/>
        </w:rPr>
        <w:t>ерсональных данных</w:t>
      </w:r>
      <w:r>
        <w:rPr>
          <w:rFonts w:ascii="Calibri" w:eastAsiaTheme="minorEastAsia" w:hAnsi="Calibri" w:cs="Arial"/>
          <w:color w:val="000000"/>
          <w:sz w:val="22"/>
          <w:szCs w:val="21"/>
        </w:rPr>
        <w:t xml:space="preserve"> обязан</w:t>
      </w:r>
      <w:r w:rsidRPr="003B5858">
        <w:rPr>
          <w:rFonts w:ascii="Calibri" w:eastAsiaTheme="minorEastAsia" w:hAnsi="Calibri" w:cs="Arial"/>
          <w:color w:val="000000"/>
          <w:sz w:val="22"/>
          <w:szCs w:val="21"/>
        </w:rPr>
        <w:t xml:space="preserve"> прекратить неправомерную обработку </w:t>
      </w:r>
      <w:r>
        <w:rPr>
          <w:rFonts w:ascii="Calibri" w:eastAsiaTheme="minorEastAsia" w:hAnsi="Calibri" w:cs="Arial"/>
          <w:color w:val="000000"/>
          <w:sz w:val="22"/>
          <w:szCs w:val="21"/>
        </w:rPr>
        <w:t>П</w:t>
      </w:r>
      <w:r w:rsidRPr="003B5858">
        <w:rPr>
          <w:rFonts w:ascii="Calibri" w:eastAsiaTheme="minorEastAsia" w:hAnsi="Calibri" w:cs="Arial"/>
          <w:color w:val="000000"/>
          <w:sz w:val="22"/>
          <w:szCs w:val="21"/>
        </w:rPr>
        <w:t>ерсональных данных в срок, не превышающий трех рабочих дней с даты этого выявления.</w:t>
      </w:r>
    </w:p>
    <w:p w:rsidR="00765109" w:rsidRDefault="00765109" w:rsidP="00293CEC">
      <w:pPr>
        <w:pStyle w:val="a5"/>
        <w:tabs>
          <w:tab w:val="left" w:pos="567"/>
        </w:tabs>
        <w:spacing w:before="120"/>
        <w:rPr>
          <w:rFonts w:ascii="Calibri" w:eastAsiaTheme="minorEastAsia" w:hAnsi="Calibri" w:cs="Arial"/>
          <w:color w:val="000000"/>
          <w:sz w:val="22"/>
          <w:szCs w:val="21"/>
        </w:rPr>
      </w:pPr>
      <w:r w:rsidRPr="003B5858">
        <w:rPr>
          <w:rFonts w:ascii="Calibri" w:eastAsiaTheme="minorEastAsia" w:hAnsi="Calibri" w:cs="Arial"/>
          <w:color w:val="000000"/>
          <w:sz w:val="22"/>
          <w:szCs w:val="21"/>
        </w:rPr>
        <w:t>Исполнитель, в случае достижения цел</w:t>
      </w:r>
      <w:r w:rsidR="00E52AB9">
        <w:rPr>
          <w:rFonts w:ascii="Calibri" w:eastAsiaTheme="minorEastAsia" w:hAnsi="Calibri" w:cs="Arial"/>
          <w:color w:val="000000"/>
          <w:sz w:val="22"/>
          <w:szCs w:val="21"/>
        </w:rPr>
        <w:t>и</w:t>
      </w:r>
      <w:r w:rsidRPr="003B5858">
        <w:rPr>
          <w:rFonts w:ascii="Calibri" w:eastAsiaTheme="minorEastAsia" w:hAnsi="Calibri" w:cs="Arial"/>
          <w:color w:val="000000"/>
          <w:sz w:val="22"/>
          <w:szCs w:val="21"/>
        </w:rPr>
        <w:t xml:space="preserve"> обработки </w:t>
      </w:r>
      <w:r w:rsidR="00E52AB9">
        <w:rPr>
          <w:rFonts w:ascii="Calibri" w:eastAsiaTheme="minorEastAsia" w:hAnsi="Calibri" w:cs="Arial"/>
          <w:color w:val="000000"/>
          <w:sz w:val="22"/>
          <w:szCs w:val="21"/>
        </w:rPr>
        <w:t>П</w:t>
      </w:r>
      <w:r w:rsidRPr="003B5858">
        <w:rPr>
          <w:rFonts w:ascii="Calibri" w:eastAsiaTheme="minorEastAsia" w:hAnsi="Calibri" w:cs="Arial"/>
          <w:color w:val="000000"/>
          <w:sz w:val="22"/>
          <w:szCs w:val="21"/>
        </w:rPr>
        <w:t xml:space="preserve">ерсональных данных обязан прекратить обработку Персональных данных и уничтожить Персональные данные в срок, не превышающий тридцати </w:t>
      </w:r>
      <w:r w:rsidR="004D3249">
        <w:rPr>
          <w:rFonts w:ascii="Calibri" w:eastAsiaTheme="minorEastAsia" w:hAnsi="Calibri" w:cs="Arial"/>
          <w:color w:val="000000"/>
          <w:sz w:val="22"/>
          <w:szCs w:val="21"/>
        </w:rPr>
        <w:t xml:space="preserve">календарных </w:t>
      </w:r>
      <w:r w:rsidRPr="003B5858">
        <w:rPr>
          <w:rFonts w:ascii="Calibri" w:eastAsiaTheme="minorEastAsia" w:hAnsi="Calibri" w:cs="Arial"/>
          <w:color w:val="000000"/>
          <w:sz w:val="22"/>
          <w:szCs w:val="21"/>
        </w:rPr>
        <w:t>дней с даты достижения цели обработки Персональных данных</w:t>
      </w:r>
      <w:r>
        <w:rPr>
          <w:rFonts w:ascii="Calibri" w:eastAsiaTheme="minorEastAsia" w:hAnsi="Calibri" w:cs="Arial"/>
          <w:color w:val="000000"/>
          <w:sz w:val="22"/>
          <w:szCs w:val="21"/>
        </w:rPr>
        <w:t>.</w:t>
      </w:r>
    </w:p>
    <w:p w:rsidR="00765109" w:rsidRDefault="00765109" w:rsidP="00293CEC">
      <w:pPr>
        <w:pStyle w:val="a5"/>
        <w:tabs>
          <w:tab w:val="left" w:pos="567"/>
        </w:tabs>
        <w:spacing w:before="120"/>
        <w:rPr>
          <w:rFonts w:ascii="Calibri" w:eastAsiaTheme="minorEastAsia" w:hAnsi="Calibri" w:cs="Arial"/>
          <w:color w:val="000000"/>
          <w:sz w:val="22"/>
          <w:szCs w:val="21"/>
        </w:rPr>
      </w:pPr>
      <w:r w:rsidRPr="003B5858">
        <w:rPr>
          <w:rFonts w:ascii="Calibri" w:eastAsiaTheme="minorEastAsia" w:hAnsi="Calibri" w:cs="Arial"/>
          <w:color w:val="000000"/>
          <w:sz w:val="22"/>
          <w:szCs w:val="21"/>
        </w:rPr>
        <w:t>В случае отзыва субъектом Персональных данных согласия на обработку его Персональных данных</w:t>
      </w:r>
      <w:r w:rsidR="00E52AB9">
        <w:rPr>
          <w:rFonts w:ascii="Calibri" w:eastAsiaTheme="minorEastAsia" w:hAnsi="Calibri" w:cs="Arial"/>
          <w:color w:val="000000"/>
          <w:sz w:val="22"/>
          <w:szCs w:val="21"/>
        </w:rPr>
        <w:t>,</w:t>
      </w:r>
      <w:r w:rsidRPr="003B5858">
        <w:rPr>
          <w:rFonts w:ascii="Calibri" w:eastAsiaTheme="minorEastAsia" w:hAnsi="Calibri" w:cs="Arial"/>
          <w:color w:val="000000"/>
          <w:sz w:val="22"/>
          <w:szCs w:val="21"/>
        </w:rPr>
        <w:t xml:space="preserve"> Исполнитель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w:t>
      </w:r>
      <w:r w:rsidR="004D3249">
        <w:rPr>
          <w:rFonts w:ascii="Calibri" w:eastAsiaTheme="minorEastAsia" w:hAnsi="Calibri" w:cs="Arial"/>
          <w:color w:val="000000"/>
          <w:sz w:val="22"/>
          <w:szCs w:val="21"/>
        </w:rPr>
        <w:t xml:space="preserve">календарных </w:t>
      </w:r>
      <w:r w:rsidRPr="003B5858">
        <w:rPr>
          <w:rFonts w:ascii="Calibri" w:eastAsiaTheme="minorEastAsia" w:hAnsi="Calibri" w:cs="Arial"/>
          <w:color w:val="000000"/>
          <w:sz w:val="22"/>
          <w:szCs w:val="21"/>
        </w:rPr>
        <w:t>дней с даты поступления указанного отзыва.</w:t>
      </w:r>
    </w:p>
    <w:p w:rsidR="00C8363B" w:rsidRDefault="00C8363B" w:rsidP="00293CEC">
      <w:pPr>
        <w:pStyle w:val="a5"/>
        <w:tabs>
          <w:tab w:val="left" w:pos="567"/>
        </w:tabs>
        <w:spacing w:before="120"/>
        <w:rPr>
          <w:rFonts w:ascii="Calibri" w:eastAsiaTheme="minorEastAsia" w:hAnsi="Calibri" w:cs="Arial"/>
          <w:color w:val="000000"/>
          <w:sz w:val="22"/>
          <w:szCs w:val="21"/>
        </w:rPr>
      </w:pPr>
      <w:r>
        <w:rPr>
          <w:rFonts w:ascii="Calibri" w:eastAsiaTheme="minorEastAsia" w:hAnsi="Calibri" w:cs="Arial"/>
          <w:color w:val="000000"/>
          <w:sz w:val="22"/>
          <w:szCs w:val="21"/>
        </w:rPr>
        <w:t xml:space="preserve">Исполнитель, после уничтожения Персональных данных субъекта обязан незамедлительно предоставить </w:t>
      </w:r>
      <w:r w:rsidR="00E52AB9">
        <w:rPr>
          <w:rFonts w:ascii="Calibri" w:eastAsiaTheme="minorEastAsia" w:hAnsi="Calibri" w:cs="Arial"/>
          <w:color w:val="000000"/>
          <w:sz w:val="22"/>
          <w:szCs w:val="21"/>
        </w:rPr>
        <w:t>документы</w:t>
      </w:r>
      <w:r w:rsidR="00850824">
        <w:rPr>
          <w:rFonts w:ascii="Calibri" w:eastAsiaTheme="minorEastAsia" w:hAnsi="Calibri" w:cs="Arial"/>
          <w:color w:val="000000"/>
          <w:sz w:val="22"/>
          <w:szCs w:val="21"/>
        </w:rPr>
        <w:t>,</w:t>
      </w:r>
      <w:r>
        <w:rPr>
          <w:rFonts w:ascii="Calibri" w:eastAsiaTheme="minorEastAsia" w:hAnsi="Calibri" w:cs="Arial"/>
          <w:color w:val="000000"/>
          <w:sz w:val="22"/>
          <w:szCs w:val="21"/>
        </w:rPr>
        <w:t xml:space="preserve"> подтверждающий</w:t>
      </w:r>
      <w:r w:rsidR="00850824">
        <w:rPr>
          <w:rFonts w:ascii="Calibri" w:eastAsiaTheme="minorEastAsia" w:hAnsi="Calibri" w:cs="Arial"/>
          <w:color w:val="000000"/>
          <w:sz w:val="22"/>
          <w:szCs w:val="21"/>
        </w:rPr>
        <w:t xml:space="preserve"> факт уничтожения Персональных данных, полученных от Заказчика.</w:t>
      </w:r>
    </w:p>
    <w:p w:rsidR="00765109" w:rsidRPr="00EE7D67" w:rsidRDefault="00765109" w:rsidP="00293CEC">
      <w:pPr>
        <w:pStyle w:val="a5"/>
        <w:tabs>
          <w:tab w:val="left" w:pos="567"/>
        </w:tabs>
        <w:spacing w:before="120"/>
        <w:rPr>
          <w:rFonts w:ascii="Calibri" w:eastAsiaTheme="minorEastAsia" w:hAnsi="Calibri" w:cs="Arial"/>
          <w:color w:val="000000"/>
          <w:sz w:val="22"/>
          <w:szCs w:val="21"/>
        </w:rPr>
      </w:pPr>
      <w:r w:rsidRPr="003B5858">
        <w:rPr>
          <w:rFonts w:ascii="Calibri" w:eastAsiaTheme="minorEastAsia" w:hAnsi="Calibri" w:cs="Arial"/>
          <w:color w:val="000000"/>
          <w:sz w:val="22"/>
          <w:szCs w:val="21"/>
        </w:rPr>
        <w:t xml:space="preserve">Исполнитель обязан по исполнении поручения или при прекращении </w:t>
      </w:r>
      <w:r w:rsidR="001420D7">
        <w:rPr>
          <w:rFonts w:ascii="Calibri" w:eastAsiaTheme="minorEastAsia" w:hAnsi="Calibri" w:cs="Arial"/>
          <w:color w:val="000000"/>
          <w:sz w:val="22"/>
          <w:szCs w:val="21"/>
        </w:rPr>
        <w:t xml:space="preserve">оказания услуг </w:t>
      </w:r>
      <w:r w:rsidRPr="003B5858">
        <w:rPr>
          <w:rFonts w:ascii="Calibri" w:eastAsiaTheme="minorEastAsia" w:hAnsi="Calibri" w:cs="Arial"/>
          <w:color w:val="000000"/>
          <w:sz w:val="22"/>
          <w:szCs w:val="21"/>
        </w:rPr>
        <w:t>до исполнения</w:t>
      </w:r>
      <w:r w:rsidR="001420D7">
        <w:rPr>
          <w:rFonts w:ascii="Calibri" w:eastAsiaTheme="minorEastAsia" w:hAnsi="Calibri" w:cs="Arial"/>
          <w:color w:val="000000"/>
          <w:sz w:val="22"/>
          <w:szCs w:val="21"/>
        </w:rPr>
        <w:t xml:space="preserve"> поручения</w:t>
      </w:r>
      <w:r w:rsidRPr="003B5858">
        <w:rPr>
          <w:rFonts w:ascii="Calibri" w:eastAsiaTheme="minorEastAsia" w:hAnsi="Calibri" w:cs="Arial"/>
          <w:color w:val="000000"/>
          <w:sz w:val="22"/>
          <w:szCs w:val="21"/>
        </w:rPr>
        <w:t xml:space="preserve"> без промедления </w:t>
      </w:r>
      <w:r w:rsidR="00C8363B" w:rsidRPr="003B5858">
        <w:rPr>
          <w:rFonts w:ascii="Calibri" w:eastAsiaTheme="minorEastAsia" w:hAnsi="Calibri" w:cs="Arial"/>
          <w:color w:val="000000"/>
          <w:sz w:val="22"/>
          <w:szCs w:val="21"/>
        </w:rPr>
        <w:t>уничтожить</w:t>
      </w:r>
      <w:r w:rsidRPr="003B5858">
        <w:rPr>
          <w:rFonts w:ascii="Calibri" w:eastAsiaTheme="minorEastAsia" w:hAnsi="Calibri" w:cs="Arial"/>
          <w:color w:val="000000"/>
          <w:sz w:val="22"/>
          <w:szCs w:val="21"/>
        </w:rPr>
        <w:t xml:space="preserve"> </w:t>
      </w:r>
      <w:r w:rsidR="00C8363B" w:rsidRPr="003B5858">
        <w:rPr>
          <w:rFonts w:ascii="Calibri" w:eastAsiaTheme="minorEastAsia" w:hAnsi="Calibri" w:cs="Arial"/>
          <w:color w:val="000000"/>
          <w:sz w:val="22"/>
          <w:szCs w:val="21"/>
        </w:rPr>
        <w:t>П</w:t>
      </w:r>
      <w:r w:rsidRPr="003B5858">
        <w:rPr>
          <w:rFonts w:ascii="Calibri" w:eastAsiaTheme="minorEastAsia" w:hAnsi="Calibri" w:cs="Arial"/>
          <w:color w:val="000000"/>
          <w:sz w:val="22"/>
          <w:szCs w:val="21"/>
        </w:rPr>
        <w:t>ерсональные данные</w:t>
      </w:r>
      <w:r w:rsidR="00C8363B" w:rsidRPr="003B5858">
        <w:rPr>
          <w:rFonts w:ascii="Calibri" w:eastAsiaTheme="minorEastAsia" w:hAnsi="Calibri" w:cs="Arial"/>
          <w:color w:val="000000"/>
          <w:sz w:val="22"/>
          <w:szCs w:val="21"/>
        </w:rPr>
        <w:t>, полученные от Заказчика</w:t>
      </w:r>
      <w:r w:rsidRPr="003B5858">
        <w:rPr>
          <w:rFonts w:ascii="Calibri" w:eastAsiaTheme="minorEastAsia" w:hAnsi="Calibri" w:cs="Arial"/>
          <w:color w:val="000000"/>
          <w:sz w:val="22"/>
          <w:szCs w:val="21"/>
        </w:rPr>
        <w:t xml:space="preserve"> и представить отчет о выполненном поручении с приложением документов, подтверждающих факт </w:t>
      </w:r>
      <w:r w:rsidR="00C8363B" w:rsidRPr="003B5858">
        <w:rPr>
          <w:rFonts w:ascii="Calibri" w:eastAsiaTheme="minorEastAsia" w:hAnsi="Calibri" w:cs="Arial"/>
          <w:color w:val="000000"/>
          <w:sz w:val="22"/>
          <w:szCs w:val="21"/>
        </w:rPr>
        <w:t xml:space="preserve">уничтожения </w:t>
      </w:r>
      <w:r w:rsidR="00850824" w:rsidRPr="003B5858">
        <w:rPr>
          <w:rFonts w:ascii="Calibri" w:eastAsiaTheme="minorEastAsia" w:hAnsi="Calibri" w:cs="Arial"/>
          <w:color w:val="000000"/>
          <w:sz w:val="22"/>
          <w:szCs w:val="21"/>
        </w:rPr>
        <w:t>П</w:t>
      </w:r>
      <w:r w:rsidR="00C8363B" w:rsidRPr="003B5858">
        <w:rPr>
          <w:rFonts w:ascii="Calibri" w:eastAsiaTheme="minorEastAsia" w:hAnsi="Calibri" w:cs="Arial"/>
          <w:color w:val="000000"/>
          <w:sz w:val="22"/>
          <w:szCs w:val="21"/>
        </w:rPr>
        <w:t>ерсональных данных</w:t>
      </w:r>
      <w:r w:rsidR="00850824" w:rsidRPr="003B5858">
        <w:rPr>
          <w:rFonts w:ascii="Calibri" w:eastAsiaTheme="minorEastAsia" w:hAnsi="Calibri" w:cs="Arial"/>
          <w:color w:val="000000"/>
          <w:sz w:val="22"/>
          <w:szCs w:val="21"/>
        </w:rPr>
        <w:t xml:space="preserve">, полученных от </w:t>
      </w:r>
      <w:r w:rsidR="00C8363B" w:rsidRPr="003B5858">
        <w:rPr>
          <w:rFonts w:ascii="Calibri" w:eastAsiaTheme="minorEastAsia" w:hAnsi="Calibri" w:cs="Arial"/>
          <w:color w:val="000000"/>
          <w:sz w:val="22"/>
          <w:szCs w:val="21"/>
        </w:rPr>
        <w:t>Заказчика.</w:t>
      </w:r>
      <w:r w:rsidRPr="003B5858">
        <w:rPr>
          <w:rFonts w:ascii="Calibri" w:eastAsiaTheme="minorEastAsia" w:hAnsi="Calibri" w:cs="Arial"/>
          <w:color w:val="000000"/>
          <w:sz w:val="22"/>
          <w:szCs w:val="21"/>
        </w:rPr>
        <w:t xml:space="preserve"> </w:t>
      </w:r>
    </w:p>
    <w:p w:rsidR="00293CEC" w:rsidRPr="00EE7D67"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При осуществлении обработки Персональных данных Стороны обязуются соблюдать их конфиденциальность и безопасность, обеспечивая высокий уровень защиты. Стороны гарантируют, что они будут поддерживать и совершенствовать разумные административные, технические и физические меры безопасности, исключающие риск нарушения безопасности Персональных данных.</w:t>
      </w:r>
    </w:p>
    <w:p w:rsidR="00293CEC" w:rsidRPr="00EE7D67"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Исполнитель, выполняя поручение Заказчика по обработке Персональных данных, обязан принимать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частности:</w:t>
      </w:r>
    </w:p>
    <w:p w:rsidR="00293CEC" w:rsidRPr="00EE7D67"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 определять угрозу безопасности Персональных данных при их обработке в информационных системах Персональных данных;</w:t>
      </w:r>
    </w:p>
    <w:p w:rsidR="00293CEC" w:rsidRPr="00EE7D67"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 применять организационные и технические меры по обеспечению безопасности Персональных данных при их обработке в информационных системах Персональных данных; - учитывать машинные носители Персональных данных;</w:t>
      </w:r>
    </w:p>
    <w:p w:rsidR="00293CEC" w:rsidRPr="00EE7D67"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 обнаруживать факты несанкционированного доступа к Персональным данным и принимать меры;</w:t>
      </w:r>
    </w:p>
    <w:p w:rsidR="00293CEC" w:rsidRPr="00EE7D67"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 восстанавливать Персональные данные, модифицированные или уничтоженные вследствие несанкционированного доступа к ним;</w:t>
      </w:r>
    </w:p>
    <w:p w:rsidR="00293CEC" w:rsidRPr="00EE7D67"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 контролировать исполнение принимаемых мер по обеспечению безопасности Персональных данных и уровня защищенности информационных систем Персональных данных.</w:t>
      </w:r>
    </w:p>
    <w:p w:rsidR="00293CEC" w:rsidRDefault="00293CEC" w:rsidP="00293CEC">
      <w:pPr>
        <w:pStyle w:val="a5"/>
        <w:tabs>
          <w:tab w:val="left" w:pos="567"/>
        </w:tabs>
        <w:spacing w:before="120"/>
        <w:rPr>
          <w:rFonts w:ascii="Calibri" w:eastAsiaTheme="minorEastAsia" w:hAnsi="Calibri" w:cs="Arial"/>
          <w:color w:val="000000"/>
          <w:sz w:val="22"/>
          <w:szCs w:val="21"/>
        </w:rPr>
      </w:pPr>
      <w:r w:rsidRPr="00EE7D67">
        <w:rPr>
          <w:rFonts w:ascii="Calibri" w:eastAsiaTheme="minorEastAsia" w:hAnsi="Calibri" w:cs="Arial"/>
          <w:color w:val="000000"/>
          <w:sz w:val="22"/>
          <w:szCs w:val="21"/>
        </w:rPr>
        <w:t xml:space="preserve">В случае нарушения безопасности Персональных данных, Сторона, виновная в нарушении, обязана не позднее 1 рабочего дня после такого нарушения письменно уведомить о сложившейся ситуации другую Сторону. Уведомление должно достаточно полно информировать о последствиях нарушения </w:t>
      </w:r>
      <w:r w:rsidRPr="00EE7D67">
        <w:rPr>
          <w:rFonts w:ascii="Calibri" w:eastAsiaTheme="minorEastAsia" w:hAnsi="Calibri" w:cs="Arial"/>
          <w:color w:val="000000"/>
          <w:sz w:val="22"/>
          <w:szCs w:val="21"/>
        </w:rPr>
        <w:lastRenderedPageBreak/>
        <w:t>безопасности Персональных данных и информацию о лицах, Персональные данные которых были затронуты таким нарушением. В случае нарушения безопасности Персональных данных, виновная Сторона должна сотрудничать с другой Стороной в связи с расследованием нарушения безопасности Персональных данных, а также за свой счет принимать все необходимые и соответствующие меры по исправлению возникшей ситуации.</w:t>
      </w:r>
    </w:p>
    <w:p w:rsidR="00765109" w:rsidRPr="00EE7D67" w:rsidRDefault="00765109" w:rsidP="00293CEC">
      <w:pPr>
        <w:pStyle w:val="a5"/>
        <w:tabs>
          <w:tab w:val="left" w:pos="567"/>
        </w:tabs>
        <w:spacing w:before="120"/>
        <w:rPr>
          <w:rFonts w:ascii="Calibri" w:eastAsiaTheme="minorEastAsia" w:hAnsi="Calibri" w:cs="Arial"/>
          <w:color w:val="000000"/>
          <w:sz w:val="22"/>
          <w:szCs w:val="21"/>
        </w:rPr>
      </w:pPr>
      <w:r w:rsidRPr="003B5858">
        <w:rPr>
          <w:rFonts w:ascii="Calibri" w:eastAsiaTheme="minorEastAsia" w:hAnsi="Calibri" w:cs="Arial"/>
          <w:color w:val="000000"/>
          <w:sz w:val="22"/>
          <w:szCs w:val="21"/>
        </w:rPr>
        <w:t>Исполнитель обязан представлять Заказчику по его требованию информацию о ходе исполнения поручения.</w:t>
      </w:r>
    </w:p>
    <w:p w:rsidR="00A00760" w:rsidRDefault="00A00760"/>
    <w:sectPr w:rsidR="00A00760" w:rsidSect="00FB79F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3D" w:rsidRDefault="0012383D" w:rsidP="00857D35">
      <w:pPr>
        <w:spacing w:after="0" w:line="240" w:lineRule="auto"/>
      </w:pPr>
      <w:r>
        <w:separator/>
      </w:r>
    </w:p>
  </w:endnote>
  <w:endnote w:type="continuationSeparator" w:id="0">
    <w:p w:rsidR="0012383D" w:rsidRDefault="0012383D" w:rsidP="0085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3D" w:rsidRDefault="0012383D" w:rsidP="00857D35">
      <w:pPr>
        <w:spacing w:after="0" w:line="240" w:lineRule="auto"/>
      </w:pPr>
      <w:r>
        <w:separator/>
      </w:r>
    </w:p>
  </w:footnote>
  <w:footnote w:type="continuationSeparator" w:id="0">
    <w:p w:rsidR="0012383D" w:rsidRDefault="0012383D" w:rsidP="00857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8E2"/>
    <w:multiLevelType w:val="hybridMultilevel"/>
    <w:tmpl w:val="28161EA6"/>
    <w:lvl w:ilvl="0" w:tplc="20B64208">
      <w:start w:val="1"/>
      <w:numFmt w:val="bullet"/>
      <w:lvlText w:val="-"/>
      <w:lvlJc w:val="left"/>
      <w:pPr>
        <w:ind w:left="720" w:hanging="360"/>
      </w:pPr>
      <w:rPr>
        <w:rFonts w:ascii="Calibri" w:eastAsiaTheme="minorEastAsia" w:hAnsi="Calibri"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952DFB"/>
    <w:multiLevelType w:val="hybridMultilevel"/>
    <w:tmpl w:val="030A0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D8033F"/>
    <w:multiLevelType w:val="hybridMultilevel"/>
    <w:tmpl w:val="FF167390"/>
    <w:lvl w:ilvl="0" w:tplc="D79C2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274BB5"/>
    <w:multiLevelType w:val="hybridMultilevel"/>
    <w:tmpl w:val="296EBCD2"/>
    <w:lvl w:ilvl="0" w:tplc="20B64208">
      <w:start w:val="1"/>
      <w:numFmt w:val="bullet"/>
      <w:lvlText w:val="-"/>
      <w:lvlJc w:val="left"/>
      <w:pPr>
        <w:ind w:left="1287" w:hanging="360"/>
      </w:pPr>
      <w:rPr>
        <w:rFonts w:ascii="Calibri" w:eastAsiaTheme="minorEastAsia" w:hAnsi="Calibri"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B77C2B"/>
    <w:multiLevelType w:val="multilevel"/>
    <w:tmpl w:val="D7B24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3C28B7"/>
    <w:multiLevelType w:val="hybridMultilevel"/>
    <w:tmpl w:val="3A8A4498"/>
    <w:lvl w:ilvl="0" w:tplc="D5E65CE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161F1B"/>
    <w:multiLevelType w:val="hybridMultilevel"/>
    <w:tmpl w:val="92706F90"/>
    <w:lvl w:ilvl="0" w:tplc="5F06DF6E">
      <w:start w:val="1"/>
      <w:numFmt w:val="bullet"/>
      <w:lvlText w:val=""/>
      <w:lvlJc w:val="left"/>
      <w:pPr>
        <w:tabs>
          <w:tab w:val="num" w:pos="986"/>
        </w:tabs>
        <w:ind w:left="986" w:hanging="360"/>
      </w:pPr>
      <w:rPr>
        <w:rFonts w:ascii="Symbol" w:hAnsi="Symbol" w:hint="default"/>
      </w:rPr>
    </w:lvl>
    <w:lvl w:ilvl="1" w:tplc="04190003">
      <w:start w:val="1"/>
      <w:numFmt w:val="bullet"/>
      <w:lvlText w:val="o"/>
      <w:lvlJc w:val="left"/>
      <w:pPr>
        <w:tabs>
          <w:tab w:val="num" w:pos="288"/>
        </w:tabs>
        <w:ind w:left="288" w:hanging="360"/>
      </w:pPr>
      <w:rPr>
        <w:rFonts w:ascii="Courier New" w:hAnsi="Courier New" w:cs="Courier New" w:hint="default"/>
      </w:rPr>
    </w:lvl>
    <w:lvl w:ilvl="2" w:tplc="04190005">
      <w:start w:val="1"/>
      <w:numFmt w:val="bullet"/>
      <w:lvlText w:val=""/>
      <w:lvlJc w:val="left"/>
      <w:pPr>
        <w:tabs>
          <w:tab w:val="num" w:pos="1008"/>
        </w:tabs>
        <w:ind w:left="1008" w:hanging="360"/>
      </w:pPr>
      <w:rPr>
        <w:rFonts w:ascii="Wingdings" w:hAnsi="Wingdings" w:hint="default"/>
      </w:rPr>
    </w:lvl>
    <w:lvl w:ilvl="3" w:tplc="04190001" w:tentative="1">
      <w:start w:val="1"/>
      <w:numFmt w:val="bullet"/>
      <w:lvlText w:val=""/>
      <w:lvlJc w:val="left"/>
      <w:pPr>
        <w:tabs>
          <w:tab w:val="num" w:pos="1728"/>
        </w:tabs>
        <w:ind w:left="1728" w:hanging="360"/>
      </w:pPr>
      <w:rPr>
        <w:rFonts w:ascii="Symbol" w:hAnsi="Symbol" w:hint="default"/>
      </w:rPr>
    </w:lvl>
    <w:lvl w:ilvl="4" w:tplc="04190003" w:tentative="1">
      <w:start w:val="1"/>
      <w:numFmt w:val="bullet"/>
      <w:lvlText w:val="o"/>
      <w:lvlJc w:val="left"/>
      <w:pPr>
        <w:tabs>
          <w:tab w:val="num" w:pos="2448"/>
        </w:tabs>
        <w:ind w:left="2448" w:hanging="360"/>
      </w:pPr>
      <w:rPr>
        <w:rFonts w:ascii="Courier New" w:hAnsi="Courier New" w:cs="Courier New" w:hint="default"/>
      </w:rPr>
    </w:lvl>
    <w:lvl w:ilvl="5" w:tplc="04190005" w:tentative="1">
      <w:start w:val="1"/>
      <w:numFmt w:val="bullet"/>
      <w:lvlText w:val=""/>
      <w:lvlJc w:val="left"/>
      <w:pPr>
        <w:tabs>
          <w:tab w:val="num" w:pos="3168"/>
        </w:tabs>
        <w:ind w:left="3168" w:hanging="360"/>
      </w:pPr>
      <w:rPr>
        <w:rFonts w:ascii="Wingdings" w:hAnsi="Wingdings" w:hint="default"/>
      </w:rPr>
    </w:lvl>
    <w:lvl w:ilvl="6" w:tplc="04190001" w:tentative="1">
      <w:start w:val="1"/>
      <w:numFmt w:val="bullet"/>
      <w:lvlText w:val=""/>
      <w:lvlJc w:val="left"/>
      <w:pPr>
        <w:tabs>
          <w:tab w:val="num" w:pos="3888"/>
        </w:tabs>
        <w:ind w:left="3888" w:hanging="360"/>
      </w:pPr>
      <w:rPr>
        <w:rFonts w:ascii="Symbol" w:hAnsi="Symbol" w:hint="default"/>
      </w:rPr>
    </w:lvl>
    <w:lvl w:ilvl="7" w:tplc="04190003" w:tentative="1">
      <w:start w:val="1"/>
      <w:numFmt w:val="bullet"/>
      <w:lvlText w:val="o"/>
      <w:lvlJc w:val="left"/>
      <w:pPr>
        <w:tabs>
          <w:tab w:val="num" w:pos="4608"/>
        </w:tabs>
        <w:ind w:left="4608" w:hanging="360"/>
      </w:pPr>
      <w:rPr>
        <w:rFonts w:ascii="Courier New" w:hAnsi="Courier New" w:cs="Courier New" w:hint="default"/>
      </w:rPr>
    </w:lvl>
    <w:lvl w:ilvl="8" w:tplc="04190005" w:tentative="1">
      <w:start w:val="1"/>
      <w:numFmt w:val="bullet"/>
      <w:lvlText w:val=""/>
      <w:lvlJc w:val="left"/>
      <w:pPr>
        <w:tabs>
          <w:tab w:val="num" w:pos="5328"/>
        </w:tabs>
        <w:ind w:left="5328" w:hanging="360"/>
      </w:pPr>
      <w:rPr>
        <w:rFonts w:ascii="Wingdings" w:hAnsi="Wingdings" w:hint="default"/>
      </w:rPr>
    </w:lvl>
  </w:abstractNum>
  <w:abstractNum w:abstractNumId="7" w15:restartNumberingAfterBreak="0">
    <w:nsid w:val="692E6713"/>
    <w:multiLevelType w:val="hybridMultilevel"/>
    <w:tmpl w:val="2F0C2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AC31A4"/>
    <w:multiLevelType w:val="hybridMultilevel"/>
    <w:tmpl w:val="574ED434"/>
    <w:lvl w:ilvl="0" w:tplc="5F06DF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72F14750"/>
    <w:multiLevelType w:val="multilevel"/>
    <w:tmpl w:val="E440FEF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64"/>
        </w:tabs>
        <w:ind w:left="764"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9"/>
  </w:num>
  <w:num w:numId="3">
    <w:abstractNumId w:val="5"/>
  </w:num>
  <w:num w:numId="4">
    <w:abstractNumId w:val="0"/>
  </w:num>
  <w:num w:numId="5">
    <w:abstractNumId w:val="1"/>
  </w:num>
  <w:num w:numId="6">
    <w:abstractNumId w:val="3"/>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EC"/>
    <w:rsid w:val="00003F6D"/>
    <w:rsid w:val="000215C4"/>
    <w:rsid w:val="00044317"/>
    <w:rsid w:val="00051BCA"/>
    <w:rsid w:val="000A4471"/>
    <w:rsid w:val="000B0D02"/>
    <w:rsid w:val="000B410A"/>
    <w:rsid w:val="000D0110"/>
    <w:rsid w:val="000D0552"/>
    <w:rsid w:val="000D6184"/>
    <w:rsid w:val="000D7C4D"/>
    <w:rsid w:val="000E5225"/>
    <w:rsid w:val="000E7B8E"/>
    <w:rsid w:val="000F0B3A"/>
    <w:rsid w:val="001033EE"/>
    <w:rsid w:val="001109EE"/>
    <w:rsid w:val="00114B6E"/>
    <w:rsid w:val="00122023"/>
    <w:rsid w:val="001235C2"/>
    <w:rsid w:val="0012383D"/>
    <w:rsid w:val="001255D9"/>
    <w:rsid w:val="00127E2C"/>
    <w:rsid w:val="00131C10"/>
    <w:rsid w:val="001420D7"/>
    <w:rsid w:val="00150124"/>
    <w:rsid w:val="001A0977"/>
    <w:rsid w:val="001A52D0"/>
    <w:rsid w:val="001A559A"/>
    <w:rsid w:val="001A5685"/>
    <w:rsid w:val="001B1C59"/>
    <w:rsid w:val="001B4F45"/>
    <w:rsid w:val="001B5D7D"/>
    <w:rsid w:val="001F60A1"/>
    <w:rsid w:val="00216782"/>
    <w:rsid w:val="00217C70"/>
    <w:rsid w:val="002444CC"/>
    <w:rsid w:val="00280936"/>
    <w:rsid w:val="00280EF7"/>
    <w:rsid w:val="00281B2A"/>
    <w:rsid w:val="00293CEC"/>
    <w:rsid w:val="002A7295"/>
    <w:rsid w:val="002B1581"/>
    <w:rsid w:val="002C167B"/>
    <w:rsid w:val="002C3453"/>
    <w:rsid w:val="002E201D"/>
    <w:rsid w:val="002F1A05"/>
    <w:rsid w:val="00306352"/>
    <w:rsid w:val="003150F1"/>
    <w:rsid w:val="00326E95"/>
    <w:rsid w:val="003320B3"/>
    <w:rsid w:val="00352E2C"/>
    <w:rsid w:val="00363F3D"/>
    <w:rsid w:val="0038147C"/>
    <w:rsid w:val="003A4704"/>
    <w:rsid w:val="003B5858"/>
    <w:rsid w:val="003B588A"/>
    <w:rsid w:val="003D5AC8"/>
    <w:rsid w:val="003D6ACC"/>
    <w:rsid w:val="003D7B72"/>
    <w:rsid w:val="003F111D"/>
    <w:rsid w:val="00420673"/>
    <w:rsid w:val="00425429"/>
    <w:rsid w:val="004261F3"/>
    <w:rsid w:val="00443FC0"/>
    <w:rsid w:val="004508A4"/>
    <w:rsid w:val="00464071"/>
    <w:rsid w:val="0048451C"/>
    <w:rsid w:val="0048696C"/>
    <w:rsid w:val="0049018C"/>
    <w:rsid w:val="00491A03"/>
    <w:rsid w:val="00493C9B"/>
    <w:rsid w:val="00494F7B"/>
    <w:rsid w:val="004B4A22"/>
    <w:rsid w:val="004C35A9"/>
    <w:rsid w:val="004C5A09"/>
    <w:rsid w:val="004D2F84"/>
    <w:rsid w:val="004D3249"/>
    <w:rsid w:val="004D4ED4"/>
    <w:rsid w:val="004D7E6E"/>
    <w:rsid w:val="004F2759"/>
    <w:rsid w:val="004F6C4D"/>
    <w:rsid w:val="00506208"/>
    <w:rsid w:val="00551E48"/>
    <w:rsid w:val="005524E7"/>
    <w:rsid w:val="00552CA4"/>
    <w:rsid w:val="0056537A"/>
    <w:rsid w:val="00574ECC"/>
    <w:rsid w:val="005876FD"/>
    <w:rsid w:val="00594334"/>
    <w:rsid w:val="005B69C6"/>
    <w:rsid w:val="005D507A"/>
    <w:rsid w:val="00603A59"/>
    <w:rsid w:val="00604B97"/>
    <w:rsid w:val="00615853"/>
    <w:rsid w:val="0065064E"/>
    <w:rsid w:val="00660B59"/>
    <w:rsid w:val="006A1547"/>
    <w:rsid w:val="006B1DBE"/>
    <w:rsid w:val="006D6CBD"/>
    <w:rsid w:val="006F50AB"/>
    <w:rsid w:val="006F7E62"/>
    <w:rsid w:val="007234D3"/>
    <w:rsid w:val="00755D25"/>
    <w:rsid w:val="00765109"/>
    <w:rsid w:val="0077476F"/>
    <w:rsid w:val="007A4621"/>
    <w:rsid w:val="007A63BF"/>
    <w:rsid w:val="007B2B3E"/>
    <w:rsid w:val="007C1B3B"/>
    <w:rsid w:val="007C636B"/>
    <w:rsid w:val="007D09A6"/>
    <w:rsid w:val="007E5462"/>
    <w:rsid w:val="007E6C36"/>
    <w:rsid w:val="007F4259"/>
    <w:rsid w:val="007F4B6A"/>
    <w:rsid w:val="00800203"/>
    <w:rsid w:val="00811587"/>
    <w:rsid w:val="0081717A"/>
    <w:rsid w:val="00830A15"/>
    <w:rsid w:val="0084159A"/>
    <w:rsid w:val="00850824"/>
    <w:rsid w:val="00857D35"/>
    <w:rsid w:val="00881A9C"/>
    <w:rsid w:val="0088701D"/>
    <w:rsid w:val="00891728"/>
    <w:rsid w:val="008A0A78"/>
    <w:rsid w:val="008B6B7F"/>
    <w:rsid w:val="008D29C3"/>
    <w:rsid w:val="008E2A1E"/>
    <w:rsid w:val="008F5F03"/>
    <w:rsid w:val="00936F3A"/>
    <w:rsid w:val="009419BC"/>
    <w:rsid w:val="00953D65"/>
    <w:rsid w:val="00955A24"/>
    <w:rsid w:val="00966163"/>
    <w:rsid w:val="00967362"/>
    <w:rsid w:val="00993E70"/>
    <w:rsid w:val="0099792C"/>
    <w:rsid w:val="009D2C8A"/>
    <w:rsid w:val="009F3BA6"/>
    <w:rsid w:val="009F650F"/>
    <w:rsid w:val="009F70DC"/>
    <w:rsid w:val="00A00760"/>
    <w:rsid w:val="00A134EE"/>
    <w:rsid w:val="00A221A8"/>
    <w:rsid w:val="00A22C16"/>
    <w:rsid w:val="00A23B9D"/>
    <w:rsid w:val="00A27AC7"/>
    <w:rsid w:val="00A6199D"/>
    <w:rsid w:val="00A62F65"/>
    <w:rsid w:val="00AA4E1A"/>
    <w:rsid w:val="00AB571C"/>
    <w:rsid w:val="00AC2276"/>
    <w:rsid w:val="00AC50F2"/>
    <w:rsid w:val="00B01E47"/>
    <w:rsid w:val="00B025FA"/>
    <w:rsid w:val="00B067CB"/>
    <w:rsid w:val="00B204F3"/>
    <w:rsid w:val="00B214BC"/>
    <w:rsid w:val="00B24974"/>
    <w:rsid w:val="00B406E0"/>
    <w:rsid w:val="00B57953"/>
    <w:rsid w:val="00B73A55"/>
    <w:rsid w:val="00B97E17"/>
    <w:rsid w:val="00BB15B6"/>
    <w:rsid w:val="00BC0790"/>
    <w:rsid w:val="00BC6EAD"/>
    <w:rsid w:val="00BC7C84"/>
    <w:rsid w:val="00BE0CF5"/>
    <w:rsid w:val="00BE2086"/>
    <w:rsid w:val="00C11DA6"/>
    <w:rsid w:val="00C46A9C"/>
    <w:rsid w:val="00C5499F"/>
    <w:rsid w:val="00C61901"/>
    <w:rsid w:val="00C72C76"/>
    <w:rsid w:val="00C8363B"/>
    <w:rsid w:val="00C91A6C"/>
    <w:rsid w:val="00C93B2A"/>
    <w:rsid w:val="00C96B34"/>
    <w:rsid w:val="00CB1157"/>
    <w:rsid w:val="00CB61E1"/>
    <w:rsid w:val="00CC3BB3"/>
    <w:rsid w:val="00CE0BD7"/>
    <w:rsid w:val="00D20700"/>
    <w:rsid w:val="00D3107E"/>
    <w:rsid w:val="00D4624A"/>
    <w:rsid w:val="00D627DE"/>
    <w:rsid w:val="00D67A0F"/>
    <w:rsid w:val="00D76FAE"/>
    <w:rsid w:val="00D93376"/>
    <w:rsid w:val="00D960F4"/>
    <w:rsid w:val="00D97AAC"/>
    <w:rsid w:val="00DA45D2"/>
    <w:rsid w:val="00DC0841"/>
    <w:rsid w:val="00DC6068"/>
    <w:rsid w:val="00DD2660"/>
    <w:rsid w:val="00DD3972"/>
    <w:rsid w:val="00DD55FF"/>
    <w:rsid w:val="00DF3AAD"/>
    <w:rsid w:val="00E346C5"/>
    <w:rsid w:val="00E41153"/>
    <w:rsid w:val="00E52AB9"/>
    <w:rsid w:val="00E54A40"/>
    <w:rsid w:val="00E56CE4"/>
    <w:rsid w:val="00E61DD9"/>
    <w:rsid w:val="00E7114E"/>
    <w:rsid w:val="00E74D40"/>
    <w:rsid w:val="00E75DA2"/>
    <w:rsid w:val="00EA034B"/>
    <w:rsid w:val="00EA46CF"/>
    <w:rsid w:val="00EA7FAF"/>
    <w:rsid w:val="00EB2753"/>
    <w:rsid w:val="00ED216D"/>
    <w:rsid w:val="00F03FA8"/>
    <w:rsid w:val="00F2330D"/>
    <w:rsid w:val="00F2337E"/>
    <w:rsid w:val="00F33CF9"/>
    <w:rsid w:val="00F37EDB"/>
    <w:rsid w:val="00F51BFF"/>
    <w:rsid w:val="00F638CA"/>
    <w:rsid w:val="00F772CF"/>
    <w:rsid w:val="00F85808"/>
    <w:rsid w:val="00FA1AD8"/>
    <w:rsid w:val="00FA41D5"/>
    <w:rsid w:val="00FB53D9"/>
    <w:rsid w:val="00FB79FA"/>
    <w:rsid w:val="00FD2C9D"/>
    <w:rsid w:val="00FD76F8"/>
    <w:rsid w:val="00FF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581C9-A486-4F1A-A4A3-9B3099B6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CEC"/>
  </w:style>
  <w:style w:type="paragraph" w:styleId="3">
    <w:name w:val="heading 3"/>
    <w:basedOn w:val="a"/>
    <w:next w:val="a"/>
    <w:link w:val="30"/>
    <w:qFormat/>
    <w:rsid w:val="00293CE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3CEC"/>
    <w:rPr>
      <w:rFonts w:ascii="Arial" w:eastAsia="Times New Roman" w:hAnsi="Arial" w:cs="Arial"/>
      <w:b/>
      <w:bCs/>
      <w:sz w:val="26"/>
      <w:szCs w:val="26"/>
      <w:lang w:val="en-US"/>
    </w:rPr>
  </w:style>
  <w:style w:type="paragraph" w:styleId="a3">
    <w:name w:val="List Paragraph"/>
    <w:aliases w:val="1,UL,Абзац маркированнный,Булит 1"/>
    <w:basedOn w:val="a"/>
    <w:link w:val="a4"/>
    <w:uiPriority w:val="34"/>
    <w:qFormat/>
    <w:rsid w:val="00293CEC"/>
    <w:pPr>
      <w:ind w:left="720"/>
      <w:contextualSpacing/>
    </w:pPr>
  </w:style>
  <w:style w:type="character" w:customStyle="1" w:styleId="a4">
    <w:name w:val="Абзац списка Знак"/>
    <w:aliases w:val="1 Знак,UL Знак,Абзац маркированнный Знак,Булит 1 Знак"/>
    <w:link w:val="a3"/>
    <w:uiPriority w:val="34"/>
    <w:locked/>
    <w:rsid w:val="00293CEC"/>
  </w:style>
  <w:style w:type="paragraph" w:styleId="a5">
    <w:name w:val="Body Text"/>
    <w:basedOn w:val="a"/>
    <w:link w:val="a6"/>
    <w:rsid w:val="00293CEC"/>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293CEC"/>
    <w:rPr>
      <w:rFonts w:ascii="Times New Roman" w:eastAsia="Times New Roman" w:hAnsi="Times New Roman" w:cs="Times New Roman"/>
      <w:sz w:val="24"/>
      <w:szCs w:val="20"/>
      <w:lang w:eastAsia="ru-RU"/>
    </w:rPr>
  </w:style>
  <w:style w:type="paragraph" w:customStyle="1" w:styleId="Style1">
    <w:name w:val="Style1"/>
    <w:basedOn w:val="a"/>
    <w:uiPriority w:val="99"/>
    <w:rsid w:val="00293C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basedOn w:val="a0"/>
    <w:uiPriority w:val="99"/>
    <w:semiHidden/>
    <w:unhideWhenUsed/>
    <w:rsid w:val="00E74D40"/>
    <w:rPr>
      <w:sz w:val="16"/>
      <w:szCs w:val="16"/>
    </w:rPr>
  </w:style>
  <w:style w:type="paragraph" w:styleId="a8">
    <w:name w:val="annotation text"/>
    <w:basedOn w:val="a"/>
    <w:link w:val="a9"/>
    <w:uiPriority w:val="99"/>
    <w:unhideWhenUsed/>
    <w:rsid w:val="00E74D40"/>
    <w:pPr>
      <w:spacing w:line="240" w:lineRule="auto"/>
    </w:pPr>
    <w:rPr>
      <w:sz w:val="20"/>
      <w:szCs w:val="20"/>
    </w:rPr>
  </w:style>
  <w:style w:type="character" w:customStyle="1" w:styleId="a9">
    <w:name w:val="Текст примечания Знак"/>
    <w:basedOn w:val="a0"/>
    <w:link w:val="a8"/>
    <w:uiPriority w:val="99"/>
    <w:rsid w:val="00E74D40"/>
    <w:rPr>
      <w:sz w:val="20"/>
      <w:szCs w:val="20"/>
    </w:rPr>
  </w:style>
  <w:style w:type="paragraph" w:styleId="aa">
    <w:name w:val="annotation subject"/>
    <w:basedOn w:val="a8"/>
    <w:next w:val="a8"/>
    <w:link w:val="ab"/>
    <w:uiPriority w:val="99"/>
    <w:semiHidden/>
    <w:unhideWhenUsed/>
    <w:rsid w:val="00E74D40"/>
    <w:rPr>
      <w:b/>
      <w:bCs/>
    </w:rPr>
  </w:style>
  <w:style w:type="character" w:customStyle="1" w:styleId="ab">
    <w:name w:val="Тема примечания Знак"/>
    <w:basedOn w:val="a9"/>
    <w:link w:val="aa"/>
    <w:uiPriority w:val="99"/>
    <w:semiHidden/>
    <w:rsid w:val="00E74D40"/>
    <w:rPr>
      <w:b/>
      <w:bCs/>
      <w:sz w:val="20"/>
      <w:szCs w:val="20"/>
    </w:rPr>
  </w:style>
  <w:style w:type="paragraph" w:styleId="ac">
    <w:name w:val="Balloon Text"/>
    <w:basedOn w:val="a"/>
    <w:link w:val="ad"/>
    <w:uiPriority w:val="99"/>
    <w:semiHidden/>
    <w:unhideWhenUsed/>
    <w:rsid w:val="00E74D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74D40"/>
    <w:rPr>
      <w:rFonts w:ascii="Segoe UI" w:hAnsi="Segoe UI" w:cs="Segoe UI"/>
      <w:sz w:val="18"/>
      <w:szCs w:val="18"/>
    </w:rPr>
  </w:style>
  <w:style w:type="table" w:styleId="ae">
    <w:name w:val="Table Grid"/>
    <w:basedOn w:val="a1"/>
    <w:uiPriority w:val="39"/>
    <w:rsid w:val="00AA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rsid w:val="003D5AC8"/>
    <w:rPr>
      <w:b w:val="0"/>
      <w:color w:val="106BBE"/>
    </w:rPr>
  </w:style>
  <w:style w:type="character" w:customStyle="1" w:styleId="af0">
    <w:name w:val="Цветовое выделение для Текст"/>
    <w:rsid w:val="003D5AC8"/>
    <w:rPr>
      <w:sz w:val="24"/>
    </w:rPr>
  </w:style>
  <w:style w:type="paragraph" w:styleId="af1">
    <w:name w:val="Revision"/>
    <w:hidden/>
    <w:uiPriority w:val="99"/>
    <w:semiHidden/>
    <w:rsid w:val="00C61901"/>
    <w:pPr>
      <w:spacing w:after="0" w:line="240" w:lineRule="auto"/>
    </w:pPr>
  </w:style>
  <w:style w:type="paragraph" w:styleId="af2">
    <w:name w:val="footnote text"/>
    <w:basedOn w:val="a"/>
    <w:link w:val="af3"/>
    <w:uiPriority w:val="99"/>
    <w:semiHidden/>
    <w:unhideWhenUsed/>
    <w:rsid w:val="00857D35"/>
    <w:pPr>
      <w:spacing w:after="0" w:line="240" w:lineRule="auto"/>
    </w:pPr>
    <w:rPr>
      <w:sz w:val="20"/>
      <w:szCs w:val="20"/>
    </w:rPr>
  </w:style>
  <w:style w:type="character" w:customStyle="1" w:styleId="af3">
    <w:name w:val="Текст сноски Знак"/>
    <w:basedOn w:val="a0"/>
    <w:link w:val="af2"/>
    <w:uiPriority w:val="99"/>
    <w:semiHidden/>
    <w:rsid w:val="00857D35"/>
    <w:rPr>
      <w:sz w:val="20"/>
      <w:szCs w:val="20"/>
    </w:rPr>
  </w:style>
  <w:style w:type="character" w:styleId="af4">
    <w:name w:val="footnote reference"/>
    <w:basedOn w:val="a0"/>
    <w:uiPriority w:val="99"/>
    <w:semiHidden/>
    <w:unhideWhenUsed/>
    <w:rsid w:val="00857D35"/>
    <w:rPr>
      <w:vertAlign w:val="superscript"/>
    </w:rPr>
  </w:style>
  <w:style w:type="character" w:styleId="af5">
    <w:name w:val="Hyperlink"/>
    <w:rsid w:val="00003F6D"/>
    <w:rPr>
      <w:color w:val="0000FF"/>
      <w:u w:val="single"/>
    </w:rPr>
  </w:style>
  <w:style w:type="paragraph" w:customStyle="1" w:styleId="Times12">
    <w:name w:val="Times 12"/>
    <w:basedOn w:val="a"/>
    <w:uiPriority w:val="99"/>
    <w:rsid w:val="00660B59"/>
    <w:pPr>
      <w:overflowPunct w:val="0"/>
      <w:autoSpaceDE w:val="0"/>
      <w:autoSpaceDN w:val="0"/>
      <w:adjustRightInd w:val="0"/>
      <w:spacing w:after="0" w:line="240" w:lineRule="auto"/>
      <w:ind w:firstLine="567"/>
      <w:jc w:val="both"/>
    </w:pPr>
    <w:rPr>
      <w:rFonts w:eastAsiaTheme="minorEastAsia" w:cs="Times New Roman"/>
      <w:bC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0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FA5C-40B1-43ED-9AA9-B37F1816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3430</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Усенко Юлия Борисовна</dc:creator>
  <cp:keywords/>
  <dc:description/>
  <cp:lastModifiedBy>Юшкин Дмитрий Николаевич</cp:lastModifiedBy>
  <cp:revision>2</cp:revision>
  <cp:lastPrinted>2019-02-28T09:58:00Z</cp:lastPrinted>
  <dcterms:created xsi:type="dcterms:W3CDTF">2019-06-14T07:44:00Z</dcterms:created>
  <dcterms:modified xsi:type="dcterms:W3CDTF">2019-06-14T07:44:00Z</dcterms:modified>
</cp:coreProperties>
</file>