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5046563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16.01.2018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o.loginova@uszo.ru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Логинова Ольга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"ИТС"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289 00 00, its@itss.ru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Поставка питьевой воды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97 000,00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Вода питьевая бутыль 19 л.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951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101,99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2018 - январь 2019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Новосибирск, г. Куйбышев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предложения, содержащие аванс не рассматриваются. Оплата в срок не более 30 (тридцати) календарных дней со дня получения Продукции. Предложения содержащие отсрочку более 30 дней 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транспортных расходов, налогов(кроме НДС), сборов и иных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нет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требования к участнику, вместе с коммерческим предложением предоставить заполненное приложение "Плановая потребность в поставке бутилированной воды"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23.01.18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01.02.2018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Плановая потребность в поставке бутилированной воды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Приложение 2 к Договору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Приложение 1 к Договору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Справка о наличии опыта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участникам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