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B719C7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5050177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72676D">
        <w:rPr>
          <w:rFonts w:ascii="Times New Roman" w:eastAsia="Times New Roman" w:hAnsi="Times New Roman"/>
          <w:b/>
          <w:sz w:val="24"/>
          <w:lang w:eastAsia="ru-RU"/>
        </w:rPr>
        <w:t>04</w:t>
      </w:r>
      <w:r w:rsidRPr="00975E5E">
        <w:rPr>
          <w:rFonts w:ascii="Times New Roman" w:eastAsia="Times New Roman" w:hAnsi="Times New Roman"/>
          <w:b/>
          <w:sz w:val="24"/>
          <w:lang w:eastAsia="ru-RU"/>
        </w:rPr>
        <w:t>.0</w:t>
      </w:r>
      <w:r w:rsidR="0072676D">
        <w:rPr>
          <w:rFonts w:ascii="Times New Roman" w:eastAsia="Times New Roman" w:hAnsi="Times New Roman"/>
          <w:b/>
          <w:sz w:val="24"/>
          <w:lang w:eastAsia="ru-RU"/>
        </w:rPr>
        <w:t>4</w:t>
      </w:r>
      <w:r w:rsidRPr="00975E5E">
        <w:rPr>
          <w:rFonts w:ascii="Times New Roman" w:eastAsia="Times New Roman" w:hAnsi="Times New Roman"/>
          <w:b/>
          <w:sz w:val="24"/>
          <w:lang w:eastAsia="ru-RU"/>
        </w:rPr>
        <w:t>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1278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k.golyshevskiy@uszo.ru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Голышевский Константин Евгеньевич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Реконструкция сигнализации масло-мазутохозяйства. Реконструкция системы вентиляции (комплекс работ)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1 934 857,73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="00562AA8" w:rsidRPr="00845BB7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6E7673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BF166B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</w:tcPr>
          <w:p w:rsidR="00562AA8" w:rsidRPr="00BF166B" w:rsidRDefault="00562AA8" w:rsidP="00562AA8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D36EA0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выполнения работ</w:t>
            </w:r>
          </w:p>
        </w:tc>
      </w:tr>
      <w:tr w:rsidR="00562AA8" w:rsidRPr="00845BB7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Реконструкция сигнализации масло-мазутохозяйства. Реконструкция системы вентиляции (комплекс работ)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A8" w:rsidRPr="00845BB7" w:rsidRDefault="00562AA8" w:rsidP="004703A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1 934 857,73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- октябрь 2018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выполнения работ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РФ, 659322, Алтайский край , г. Бийск, ул. Михаила Кутузова, 116, АО "Бийскэнерго"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выполнения работ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Технического задания и Проектно-сметной документации.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расчет, оплата выполненных работ производится Заказчиком путем перечисления денежных средств на расчетный счет Подрядчика в течение 30 календарных дней с момента выставления Подрядчиком счёта-фактуры на основании подписанных акта сдачи-приемки выполненных работ, акта о приемке выполненных работ формы КС-2, справки о стоимости работ формы КС-3 и предъявленного Подрядчиком счета на оплату.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В стоимость предложения включены все расходы, связанные с выполнением  работ для АО «Бийскэнерго», транспортные расходы, налоги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lastRenderedPageBreak/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да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Согласно Требованиям к участникам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Pr="00975E5E">
        <w:rPr>
          <w:b/>
          <w:u w:val="single"/>
        </w:rPr>
        <w:t>12-00 05.03.18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A131F4" w:rsidRPr="00A131F4">
        <w:rPr>
          <w:b/>
        </w:rPr>
        <w:t>0</w:t>
      </w:r>
      <w:r w:rsidR="0072676D">
        <w:rPr>
          <w:b/>
        </w:rPr>
        <w:t>6</w:t>
      </w:r>
      <w:bookmarkStart w:id="30" w:name="_GoBack"/>
      <w:bookmarkEnd w:id="30"/>
      <w:r>
        <w:rPr>
          <w:b/>
        </w:rPr>
        <w:t>.0</w:t>
      </w:r>
      <w:r w:rsidR="00A131F4" w:rsidRPr="00A131F4">
        <w:rPr>
          <w:b/>
        </w:rPr>
        <w:t>4</w:t>
      </w:r>
      <w:r>
        <w:rPr>
          <w:b/>
        </w:rPr>
        <w:t>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lastRenderedPageBreak/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3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3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5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5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lastRenderedPageBreak/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RDefault="00BB2C84" w:rsidP="00A64972">
      <w:pPr>
        <w:pStyle w:val="3"/>
      </w:pPr>
      <w:bookmarkStart w:id="36" w:name="condition_SMSP1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0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1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36"/>
    </w:p>
    <w:p w:rsidR="00BB2C84" w:rsidRDefault="00BB2C84" w:rsidP="00A64972">
      <w:pPr>
        <w:pStyle w:val="3"/>
      </w:pPr>
      <w:bookmarkStart w:id="37" w:name="condition_SMSP2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2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37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8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8"/>
    </w:p>
    <w:p w:rsidR="00294681" w:rsidRDefault="00294681" w:rsidP="00F9280E">
      <w:pPr>
        <w:pStyle w:val="3"/>
      </w:pPr>
      <w:bookmarkStart w:id="39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39"/>
    </w:p>
    <w:p w:rsidR="00895A59" w:rsidRDefault="00895A59" w:rsidP="00A64972">
      <w:pPr>
        <w:pStyle w:val="3"/>
      </w:pPr>
      <w:bookmarkStart w:id="40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3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0"/>
    </w:p>
    <w:p w:rsidR="00BB42AC" w:rsidRPr="00B1387F" w:rsidRDefault="00BB42AC" w:rsidP="00A64972">
      <w:pPr>
        <w:pStyle w:val="3"/>
        <w:rPr>
          <w:b/>
        </w:rPr>
      </w:pPr>
      <w:bookmarkStart w:id="41" w:name="documents_UL_block"/>
      <w:r w:rsidRPr="00B1387F">
        <w:rPr>
          <w:b/>
        </w:rPr>
        <w:t>Российскими юридическими лицами:</w:t>
      </w:r>
      <w:bookmarkEnd w:id="41"/>
    </w:p>
    <w:p w:rsidR="00BB42AC" w:rsidRDefault="00BB42AC" w:rsidP="00A64972">
      <w:pPr>
        <w:pStyle w:val="4"/>
      </w:pPr>
      <w:bookmarkStart w:id="42" w:name="documents_ustav"/>
      <w:r w:rsidRPr="005A1083">
        <w:t>Устав;</w:t>
      </w:r>
      <w:bookmarkEnd w:id="42"/>
    </w:p>
    <w:p w:rsidR="00BB42AC" w:rsidRPr="00A64972" w:rsidRDefault="00BB42AC" w:rsidP="00A64972">
      <w:pPr>
        <w:pStyle w:val="4"/>
      </w:pPr>
      <w:bookmarkStart w:id="43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3"/>
    </w:p>
    <w:p w:rsidR="00BB42AC" w:rsidRDefault="00BB42AC" w:rsidP="00A64972">
      <w:pPr>
        <w:pStyle w:val="4"/>
      </w:pPr>
      <w:bookmarkStart w:id="44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4"/>
    </w:p>
    <w:p w:rsidR="00B94A5D" w:rsidRPr="00B1387F" w:rsidRDefault="00B94A5D" w:rsidP="00A64972">
      <w:pPr>
        <w:pStyle w:val="3"/>
        <w:rPr>
          <w:b/>
        </w:rPr>
      </w:pPr>
      <w:bookmarkStart w:id="45" w:name="documents_IN_block"/>
      <w:r w:rsidRPr="00B1387F">
        <w:rPr>
          <w:b/>
        </w:rPr>
        <w:t>Иностранными юридическими лицами:</w:t>
      </w:r>
      <w:bookmarkEnd w:id="45"/>
    </w:p>
    <w:p w:rsidR="00E6177E" w:rsidRPr="00B94A5D" w:rsidRDefault="00E6177E" w:rsidP="00A64972">
      <w:pPr>
        <w:pStyle w:val="4"/>
      </w:pPr>
      <w:bookmarkStart w:id="46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46"/>
    </w:p>
    <w:p w:rsidR="00B94A5D" w:rsidRDefault="00B94A5D" w:rsidP="00F9280E">
      <w:pPr>
        <w:pStyle w:val="4"/>
      </w:pPr>
      <w:bookmarkStart w:id="47" w:name="documents_GR_IN"/>
      <w:r>
        <w:lastRenderedPageBreak/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7"/>
    </w:p>
    <w:p w:rsidR="00B94A5D" w:rsidRDefault="00B94A5D" w:rsidP="00F9280E">
      <w:pPr>
        <w:pStyle w:val="4"/>
      </w:pPr>
      <w:bookmarkStart w:id="48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8"/>
    </w:p>
    <w:p w:rsidR="00A64972" w:rsidRDefault="00A64972" w:rsidP="00A64972">
      <w:pPr>
        <w:pStyle w:val="2"/>
      </w:pPr>
      <w:bookmarkStart w:id="49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9"/>
    </w:p>
    <w:p w:rsidR="00413AD9" w:rsidRDefault="00413AD9" w:rsidP="00413AD9">
      <w:pPr>
        <w:pStyle w:val="3"/>
      </w:pPr>
      <w:bookmarkStart w:id="50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0"/>
    </w:p>
    <w:p w:rsidR="00A64972" w:rsidRDefault="00A64972" w:rsidP="00A64972">
      <w:pPr>
        <w:pStyle w:val="3"/>
      </w:pPr>
      <w:bookmarkStart w:id="51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1"/>
    </w:p>
    <w:p w:rsidR="00A64972" w:rsidRDefault="00A64972" w:rsidP="00A64972">
      <w:pPr>
        <w:pStyle w:val="3"/>
      </w:pPr>
      <w:bookmarkStart w:id="52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2"/>
    </w:p>
    <w:p w:rsidR="00A64972" w:rsidRDefault="00A64972" w:rsidP="00A64972">
      <w:pPr>
        <w:pStyle w:val="3"/>
      </w:pPr>
      <w:bookmarkStart w:id="53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53"/>
    </w:p>
    <w:p w:rsidR="00B53C75" w:rsidRPr="004674F9" w:rsidRDefault="00954827" w:rsidP="00B53C75">
      <w:pPr>
        <w:pStyle w:val="1"/>
      </w:pPr>
      <w:bookmarkStart w:id="54" w:name="retender_header"/>
      <w:r w:rsidRPr="004674F9">
        <w:t>Переторжка</w:t>
      </w:r>
      <w:bookmarkEnd w:id="54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5" w:name="retender_actions"/>
      <w:r>
        <w:rPr>
          <w:b/>
        </w:rPr>
        <w:t>снижения стоимости лота и/или улучшения условий оплаты</w:t>
      </w:r>
      <w:bookmarkEnd w:id="55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lastRenderedPageBreak/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lastRenderedPageBreak/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6" w:name="request_period"/>
      <w:r>
        <w:t>3-х рабочих дней</w:t>
      </w:r>
      <w:bookmarkEnd w:id="56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об опыте работы.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Требования к участникам.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12.1 ЛС№1 А-065.09-15-ОВ.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12.2 ЛСР№01 А-072.02-16-АОВ.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12.3 А-065.09-15-ОВ.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12.4 А-072.02-16-АОВ.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12.5 3.А-065.09-15-АТХ.1.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12.6. 3.А-065.09-15-АТХ.2.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12.7 А-065.09-15-ПЗ. ч.1.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7" w:name="appendix"/>
      <w:r>
        <w:rPr>
          <w:sz w:val="22"/>
          <w:szCs w:val="18"/>
        </w:rPr>
        <w:t>Приложение 12.7 А-065.09-15-ПЗ. ч.2</w:t>
      </w:r>
      <w:bookmarkEnd w:id="57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C7" w:rsidRDefault="00B719C7" w:rsidP="00BF60BF">
      <w:r>
        <w:separator/>
      </w:r>
    </w:p>
  </w:endnote>
  <w:endnote w:type="continuationSeparator" w:id="0">
    <w:p w:rsidR="00B719C7" w:rsidRDefault="00B719C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B719C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72676D"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B719C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72676D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C7" w:rsidRDefault="00B719C7" w:rsidP="00BF60BF">
      <w:r>
        <w:separator/>
      </w:r>
    </w:p>
  </w:footnote>
  <w:footnote w:type="continuationSeparator" w:id="0">
    <w:p w:rsidR="00B719C7" w:rsidRDefault="00B719C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B719C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4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562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2676D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5E5E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31F4"/>
    <w:rsid w:val="00A178F0"/>
    <w:rsid w:val="00A17DD5"/>
    <w:rsid w:val="00A31984"/>
    <w:rsid w:val="00A46ADB"/>
    <w:rsid w:val="00A51A3C"/>
    <w:rsid w:val="00A6112A"/>
    <w:rsid w:val="00A611EA"/>
    <w:rsid w:val="00A620D4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719C7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msp.nalog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C718-0968-4BBE-B63D-36A7599C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Голышевский Константин Евгеньевич</cp:lastModifiedBy>
  <cp:revision>80</cp:revision>
  <cp:lastPrinted>2016-06-17T08:27:00Z</cp:lastPrinted>
  <dcterms:created xsi:type="dcterms:W3CDTF">2016-06-17T06:14:00Z</dcterms:created>
  <dcterms:modified xsi:type="dcterms:W3CDTF">2018-04-04T03:22:00Z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