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132C34">
        <w:rPr>
          <w:rFonts w:eastAsia="MS Mincho"/>
          <w:b/>
          <w:sz w:val="28"/>
          <w:szCs w:val="28"/>
        </w:rPr>
        <w:t>2</w:t>
      </w:r>
      <w:r w:rsidR="008615BD">
        <w:rPr>
          <w:rFonts w:eastAsia="MS Mincho"/>
          <w:b/>
          <w:sz w:val="28"/>
          <w:szCs w:val="28"/>
        </w:rPr>
        <w:t>6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>поставки запасных частей для ремонта грузовых вагонов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6E1A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132C34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>Право заключения договора поставки запасных частей для ремонта грузовых вагонов.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5D3AC6" w:rsidRPr="002B4938" w:rsidRDefault="008615BD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8615BD">
              <w:rPr>
                <w:bCs/>
                <w:sz w:val="28"/>
                <w:szCs w:val="28"/>
              </w:rPr>
              <w:t xml:space="preserve">692041, Приморский край, г. Лесозаводск, ул. </w:t>
            </w:r>
            <w:proofErr w:type="gramStart"/>
            <w:r w:rsidRPr="008615BD">
              <w:rPr>
                <w:bCs/>
                <w:sz w:val="28"/>
                <w:szCs w:val="28"/>
              </w:rPr>
              <w:t>Камышовая</w:t>
            </w:r>
            <w:proofErr w:type="gramEnd"/>
            <w:r w:rsidRPr="008615BD">
              <w:rPr>
                <w:bCs/>
                <w:sz w:val="28"/>
                <w:szCs w:val="28"/>
              </w:rPr>
              <w:t>, дом 1</w:t>
            </w: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8615BD" w:rsidRPr="008615BD">
              <w:rPr>
                <w:bCs/>
                <w:sz w:val="28"/>
                <w:szCs w:val="28"/>
              </w:rPr>
              <w:t>62 687,00 (шестьдесят две тысячи шестьсот восемьдесят семь) рублей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8615BD" w:rsidRPr="008615BD">
              <w:rPr>
                <w:bCs/>
                <w:sz w:val="28"/>
                <w:szCs w:val="28"/>
              </w:rPr>
              <w:t>73 970,66 (семьдесят три тысячи девятьсот семьдесят) рублей 66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8615B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8615B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  <w:bookmarkStart w:id="1" w:name="_GoBack"/>
            <w:bookmarkEnd w:id="1"/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132C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15BD">
      <w:rPr>
        <w:rStyle w:val="a9"/>
        <w:noProof/>
      </w:rPr>
      <w:t>3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32C34"/>
    <w:rsid w:val="00170469"/>
    <w:rsid w:val="00175AB3"/>
    <w:rsid w:val="00180A54"/>
    <w:rsid w:val="00192DAF"/>
    <w:rsid w:val="001C16CA"/>
    <w:rsid w:val="001E6DAB"/>
    <w:rsid w:val="001F1F05"/>
    <w:rsid w:val="001F5C0E"/>
    <w:rsid w:val="00275E97"/>
    <w:rsid w:val="002B4938"/>
    <w:rsid w:val="00352148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10CA0"/>
    <w:rsid w:val="00741BC8"/>
    <w:rsid w:val="00743F26"/>
    <w:rsid w:val="007E26A3"/>
    <w:rsid w:val="007F15BB"/>
    <w:rsid w:val="008615BD"/>
    <w:rsid w:val="008C45A7"/>
    <w:rsid w:val="00900767"/>
    <w:rsid w:val="0092449F"/>
    <w:rsid w:val="00924DAF"/>
    <w:rsid w:val="00954F59"/>
    <w:rsid w:val="00980459"/>
    <w:rsid w:val="0098231C"/>
    <w:rsid w:val="009D5F5C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8CD0-B731-439C-9470-94EEF722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34</cp:revision>
  <cp:lastPrinted>2016-11-16T09:53:00Z</cp:lastPrinted>
  <dcterms:created xsi:type="dcterms:W3CDTF">2016-10-07T09:34:00Z</dcterms:created>
  <dcterms:modified xsi:type="dcterms:W3CDTF">2017-02-21T15:34:00Z</dcterms:modified>
</cp:coreProperties>
</file>