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30" w:rsidRDefault="005E473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1C455F" w:rsidRDefault="009E34D1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9E34D1">
        <w:rPr>
          <w:b/>
          <w:i/>
          <w:sz w:val="24"/>
          <w:szCs w:val="24"/>
        </w:rPr>
        <w:t>Приглашение делать оферты (далее – ПДО)</w:t>
      </w:r>
    </w:p>
    <w:p w:rsidR="009E34D1" w:rsidRDefault="009E34D1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8E318E" w:rsidRDefault="00C16D66" w:rsidP="00660E3E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5B7481">
        <w:rPr>
          <w:sz w:val="24"/>
          <w:szCs w:val="24"/>
        </w:rPr>
        <w:t>условиям</w:t>
      </w:r>
      <w:r w:rsidR="00811FF3">
        <w:rPr>
          <w:sz w:val="24"/>
          <w:szCs w:val="24"/>
        </w:rPr>
        <w:t xml:space="preserve"> </w:t>
      </w:r>
      <w:r w:rsidR="00524C8B">
        <w:rPr>
          <w:sz w:val="24"/>
          <w:szCs w:val="24"/>
        </w:rPr>
        <w:t xml:space="preserve">поставки </w:t>
      </w:r>
      <w:r w:rsidR="007D38DC">
        <w:rPr>
          <w:sz w:val="24"/>
          <w:szCs w:val="24"/>
        </w:rPr>
        <w:t>мобильных POS-терминалов и</w:t>
      </w:r>
      <w:r w:rsidR="003265FC">
        <w:rPr>
          <w:sz w:val="24"/>
          <w:szCs w:val="24"/>
        </w:rPr>
        <w:t xml:space="preserve"> передачу прав на встраиваемое в Оборудование программное обеспечение</w:t>
      </w:r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т.ч.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590168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DD3702" w:rsidRPr="00145471" w:rsidRDefault="00DD3702" w:rsidP="00DD3702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 содержащие с</w:t>
      </w:r>
      <w:r w:rsidRPr="00074F1D">
        <w:rPr>
          <w:i/>
          <w:sz w:val="24"/>
          <w:szCs w:val="24"/>
        </w:rPr>
        <w:t>ведения о квалификации участника</w:t>
      </w:r>
      <w:r>
        <w:rPr>
          <w:i/>
          <w:sz w:val="24"/>
          <w:szCs w:val="24"/>
        </w:rPr>
        <w:t>:</w:t>
      </w:r>
    </w:p>
    <w:p w:rsidR="00DD3702" w:rsidRPr="00DD3702" w:rsidRDefault="00DD3702" w:rsidP="00DD3702">
      <w:pPr>
        <w:pStyle w:val="ab"/>
        <w:numPr>
          <w:ilvl w:val="0"/>
          <w:numId w:val="13"/>
        </w:numPr>
        <w:tabs>
          <w:tab w:val="left" w:pos="284"/>
        </w:tabs>
        <w:spacing w:before="0"/>
        <w:jc w:val="both"/>
        <w:rPr>
          <w:sz w:val="24"/>
          <w:szCs w:val="24"/>
        </w:rPr>
      </w:pPr>
      <w:r w:rsidRPr="00E81812">
        <w:rPr>
          <w:sz w:val="24"/>
          <w:szCs w:val="24"/>
        </w:rPr>
        <w:t xml:space="preserve">Копия документа, подтверждающего наличие у участника </w:t>
      </w:r>
      <w:r w:rsidR="009E34D1">
        <w:rPr>
          <w:sz w:val="24"/>
          <w:szCs w:val="24"/>
        </w:rPr>
        <w:t>ПДО</w:t>
      </w:r>
      <w:r>
        <w:rPr>
          <w:sz w:val="24"/>
          <w:szCs w:val="24"/>
        </w:rPr>
        <w:t xml:space="preserve"> </w:t>
      </w:r>
      <w:r w:rsidRPr="00E81812">
        <w:rPr>
          <w:sz w:val="24"/>
          <w:szCs w:val="24"/>
        </w:rPr>
        <w:t xml:space="preserve">в собственности склада в Москве или Московской области, или копия подписанного с двух сторон договора аренды между участником </w:t>
      </w:r>
      <w:r w:rsidR="009E34D1">
        <w:rPr>
          <w:sz w:val="24"/>
          <w:szCs w:val="24"/>
        </w:rPr>
        <w:t>ПДО</w:t>
      </w:r>
      <w:r w:rsidRPr="00E81812">
        <w:rPr>
          <w:sz w:val="24"/>
          <w:szCs w:val="24"/>
        </w:rPr>
        <w:t xml:space="preserve"> и арендодателем, с указанием адреса и срока аренды арендуемого склада (в случае испо</w:t>
      </w:r>
      <w:r>
        <w:rPr>
          <w:sz w:val="24"/>
          <w:szCs w:val="24"/>
        </w:rPr>
        <w:t>льзования арендованного склада)</w:t>
      </w:r>
      <w:r w:rsidRPr="00C16D66">
        <w:rPr>
          <w:sz w:val="24"/>
          <w:szCs w:val="24"/>
        </w:rPr>
        <w:t>;</w:t>
      </w:r>
    </w:p>
    <w:p w:rsidR="00937AC9" w:rsidRPr="00937AC9" w:rsidRDefault="00937AC9" w:rsidP="00937AC9">
      <w:pPr>
        <w:pStyle w:val="ab"/>
        <w:spacing w:before="0"/>
        <w:jc w:val="both"/>
        <w:rPr>
          <w:sz w:val="24"/>
          <w:szCs w:val="24"/>
        </w:rPr>
      </w:pPr>
    </w:p>
    <w:p w:rsidR="00D62D93" w:rsidRPr="005B7481" w:rsidRDefault="00AE075B" w:rsidP="005B7481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="009E34D1">
        <w:rPr>
          <w:b/>
          <w:sz w:val="24"/>
          <w:szCs w:val="24"/>
        </w:rPr>
        <w:t>ПДО</w:t>
      </w:r>
      <w:r w:rsidR="00D62D93">
        <w:rPr>
          <w:b/>
          <w:sz w:val="24"/>
          <w:szCs w:val="24"/>
        </w:rPr>
        <w:t xml:space="preserve"> </w:t>
      </w:r>
      <w:r w:rsidR="00D62D93" w:rsidRPr="00D62D93">
        <w:rPr>
          <w:b/>
          <w:sz w:val="24"/>
          <w:szCs w:val="24"/>
        </w:rPr>
        <w:t xml:space="preserve">на </w:t>
      </w:r>
      <w:r w:rsidR="00524C8B" w:rsidRPr="00524C8B">
        <w:rPr>
          <w:b/>
          <w:sz w:val="24"/>
          <w:szCs w:val="24"/>
        </w:rPr>
        <w:t>поставк</w:t>
      </w:r>
      <w:r w:rsidR="00524C8B">
        <w:rPr>
          <w:b/>
          <w:sz w:val="24"/>
          <w:szCs w:val="24"/>
        </w:rPr>
        <w:t>у</w:t>
      </w:r>
      <w:r w:rsidR="00524C8B" w:rsidRPr="00524C8B">
        <w:rPr>
          <w:b/>
          <w:sz w:val="24"/>
          <w:szCs w:val="24"/>
        </w:rPr>
        <w:t xml:space="preserve"> </w:t>
      </w:r>
      <w:r w:rsidR="007D38DC">
        <w:rPr>
          <w:b/>
          <w:sz w:val="24"/>
          <w:szCs w:val="24"/>
        </w:rPr>
        <w:t>мобильных POS-терминалов и</w:t>
      </w:r>
      <w:r w:rsidR="003265FC">
        <w:rPr>
          <w:b/>
          <w:sz w:val="24"/>
          <w:szCs w:val="24"/>
        </w:rPr>
        <w:t xml:space="preserve"> передачу прав на встраиваемое в Оборудование программное обеспечение</w:t>
      </w:r>
      <w:r w:rsidR="00D62D93" w:rsidRPr="00D62D93">
        <w:rPr>
          <w:b/>
          <w:sz w:val="24"/>
          <w:szCs w:val="24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562"/>
        <w:gridCol w:w="4536"/>
        <w:gridCol w:w="4962"/>
      </w:tblGrid>
      <w:tr w:rsidR="00AE075B" w:rsidTr="00452635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9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452635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962" w:type="dxa"/>
          </w:tcPr>
          <w:p w:rsidR="00AE075B" w:rsidRPr="00732BA2" w:rsidRDefault="009E34D1" w:rsidP="00660E3E">
            <w:pPr>
              <w:jc w:val="both"/>
              <w:rPr>
                <w:sz w:val="24"/>
                <w:szCs w:val="24"/>
              </w:rPr>
            </w:pPr>
            <w:r w:rsidRPr="009E34D1">
              <w:rPr>
                <w:sz w:val="24"/>
                <w:szCs w:val="24"/>
              </w:rPr>
              <w:t>ПДО</w:t>
            </w:r>
          </w:p>
        </w:tc>
      </w:tr>
      <w:tr w:rsidR="00A82276" w:rsidTr="00452635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962" w:type="dxa"/>
          </w:tcPr>
          <w:p w:rsidR="00A82276" w:rsidRDefault="00420EF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</w:tr>
      <w:tr w:rsidR="00AE075B" w:rsidTr="00452635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962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452635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962" w:type="dxa"/>
          </w:tcPr>
          <w:p w:rsidR="00AE075B" w:rsidRPr="00732BA2" w:rsidRDefault="00524C8B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7D38DC">
              <w:rPr>
                <w:sz w:val="24"/>
                <w:szCs w:val="24"/>
              </w:rPr>
              <w:t>мобильных POS-терминалов и</w:t>
            </w:r>
            <w:r w:rsidR="003265FC">
              <w:rPr>
                <w:sz w:val="24"/>
                <w:szCs w:val="24"/>
              </w:rPr>
              <w:t xml:space="preserve"> передача прав на встраиваемое в Оборудование программное обеспечение</w:t>
            </w:r>
          </w:p>
        </w:tc>
      </w:tr>
      <w:tr w:rsidR="00A82276" w:rsidTr="00452635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Pr="00895871" w:rsidRDefault="00A82276" w:rsidP="00440153">
            <w:pPr>
              <w:jc w:val="both"/>
              <w:rPr>
                <w:sz w:val="24"/>
                <w:szCs w:val="24"/>
              </w:rPr>
            </w:pPr>
            <w:r w:rsidRPr="00895871">
              <w:rPr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</w:tcPr>
          <w:p w:rsidR="00A82276" w:rsidRPr="000C4FE4" w:rsidRDefault="00211487" w:rsidP="00660E3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 xml:space="preserve">500 </w:t>
            </w:r>
            <w:r w:rsidR="00452635" w:rsidRPr="00DF133B">
              <w:rPr>
                <w:sz w:val="24"/>
                <w:szCs w:val="24"/>
              </w:rPr>
              <w:t>штук</w:t>
            </w:r>
          </w:p>
        </w:tc>
      </w:tr>
      <w:tr w:rsidR="00AE075B" w:rsidTr="00452635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962" w:type="dxa"/>
          </w:tcPr>
          <w:p w:rsidR="00AE075B" w:rsidRPr="00CE3D3D" w:rsidRDefault="003804A3" w:rsidP="00660E3E">
            <w:pPr>
              <w:jc w:val="both"/>
              <w:rPr>
                <w:sz w:val="24"/>
                <w:szCs w:val="24"/>
              </w:rPr>
            </w:pPr>
            <w:r w:rsidRPr="003804A3">
              <w:rPr>
                <w:sz w:val="24"/>
                <w:szCs w:val="24"/>
              </w:rPr>
              <w:t>26.20.12</w:t>
            </w:r>
          </w:p>
        </w:tc>
      </w:tr>
      <w:tr w:rsidR="00AE075B" w:rsidTr="00452635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  <w:r w:rsidR="009A74C6">
              <w:rPr>
                <w:sz w:val="24"/>
                <w:szCs w:val="24"/>
              </w:rPr>
              <w:t>/работ</w:t>
            </w:r>
          </w:p>
        </w:tc>
        <w:tc>
          <w:tcPr>
            <w:tcW w:w="4962" w:type="dxa"/>
          </w:tcPr>
          <w:p w:rsidR="00AE075B" w:rsidRPr="00732BA2" w:rsidRDefault="000C4FE4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7D38DC">
              <w:rPr>
                <w:sz w:val="24"/>
                <w:szCs w:val="24"/>
              </w:rPr>
              <w:t>мобильных POS-терминалов и</w:t>
            </w:r>
            <w:r w:rsidR="003265FC">
              <w:rPr>
                <w:sz w:val="24"/>
                <w:szCs w:val="24"/>
              </w:rPr>
              <w:t xml:space="preserve"> передача прав на встраиваемое в Оборудование программное обеспечение</w:t>
            </w:r>
          </w:p>
        </w:tc>
      </w:tr>
      <w:tr w:rsidR="00280438" w:rsidTr="00452635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962" w:type="dxa"/>
          </w:tcPr>
          <w:p w:rsidR="00280438" w:rsidRPr="00A82276" w:rsidRDefault="003265FC" w:rsidP="00660E3E">
            <w:pPr>
              <w:jc w:val="both"/>
              <w:rPr>
                <w:sz w:val="24"/>
                <w:szCs w:val="24"/>
              </w:rPr>
            </w:pPr>
            <w:r w:rsidRPr="003265FC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145471" w:rsidTr="00452635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962" w:type="dxa"/>
          </w:tcPr>
          <w:p w:rsidR="009A74C6" w:rsidRPr="009A74C6" w:rsidRDefault="003265FC" w:rsidP="009A74C6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Покупатель осуществляет оплату 100 (Ста) % стоимости поставленного Оборудования и ПО 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тридцати</w:t>
            </w: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календарных дней с даты получения счета Поставщика, </w:t>
            </w: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выставленного Покупателю после отгрузки на склад Покупателя Оборудования и ПО и подписания Сторонами ТОРГ – 12 и Акта приема-передачи ПО.</w:t>
            </w:r>
          </w:p>
        </w:tc>
      </w:tr>
      <w:tr w:rsidR="00145471" w:rsidTr="00452635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962" w:type="dxa"/>
          </w:tcPr>
          <w:p w:rsidR="00145471" w:rsidRPr="00732BA2" w:rsidRDefault="00963D8B" w:rsidP="00145471">
            <w:pPr>
              <w:jc w:val="both"/>
              <w:rPr>
                <w:sz w:val="24"/>
                <w:szCs w:val="24"/>
              </w:rPr>
            </w:pPr>
            <w:r w:rsidRPr="00963D8B">
              <w:rPr>
                <w:sz w:val="24"/>
                <w:szCs w:val="24"/>
              </w:rPr>
              <w:t xml:space="preserve">При возникновении у Покупателя необходимости в доставке Оборудования с установленным ПО </w:t>
            </w:r>
            <w:proofErr w:type="spellStart"/>
            <w:r w:rsidRPr="00963D8B">
              <w:rPr>
                <w:sz w:val="24"/>
                <w:szCs w:val="24"/>
              </w:rPr>
              <w:t>по</w:t>
            </w:r>
            <w:proofErr w:type="spellEnd"/>
            <w:r w:rsidRPr="00963D8B">
              <w:rPr>
                <w:sz w:val="24"/>
                <w:szCs w:val="24"/>
              </w:rPr>
              <w:t xml:space="preserve"> адресам Покупателя, он направляет по электронной почте Поставщика</w:t>
            </w:r>
            <w:r>
              <w:rPr>
                <w:sz w:val="24"/>
                <w:szCs w:val="24"/>
              </w:rPr>
              <w:t xml:space="preserve"> </w:t>
            </w:r>
            <w:r w:rsidRPr="00963D8B">
              <w:rPr>
                <w:sz w:val="24"/>
                <w:szCs w:val="24"/>
              </w:rPr>
              <w:t>Заявку на доставку Оборудования по форме Приложени</w:t>
            </w:r>
            <w:r>
              <w:rPr>
                <w:sz w:val="24"/>
                <w:szCs w:val="24"/>
              </w:rPr>
              <w:t>я</w:t>
            </w:r>
            <w:r w:rsidRPr="00963D8B">
              <w:rPr>
                <w:sz w:val="24"/>
                <w:szCs w:val="24"/>
              </w:rPr>
              <w:t xml:space="preserve"> к Договору в срок не менее 5 (Пяти) рабочих дней до даты поставки. Доставка Оборудования с установленным ПО осуществляется силами Поставщика по адресу и в срок, указанный в Заявке на доставку Оборудования. Перечень регионов доставки Оборудования указан в </w:t>
            </w:r>
            <w:r>
              <w:rPr>
                <w:sz w:val="24"/>
                <w:szCs w:val="24"/>
              </w:rPr>
              <w:t>Техническом задании</w:t>
            </w:r>
            <w:r w:rsidRPr="00963D8B">
              <w:rPr>
                <w:sz w:val="24"/>
                <w:szCs w:val="24"/>
              </w:rPr>
              <w:t>.</w:t>
            </w:r>
          </w:p>
        </w:tc>
      </w:tr>
      <w:bookmarkEnd w:id="0"/>
    </w:tbl>
    <w:p w:rsidR="00AE075B" w:rsidRDefault="00AE075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420EF6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420EF6">
        <w:rPr>
          <w:sz w:val="24"/>
          <w:szCs w:val="24"/>
        </w:rPr>
        <w:t>21</w:t>
      </w:r>
      <w:r w:rsidR="00C76576">
        <w:rPr>
          <w:sz w:val="24"/>
          <w:szCs w:val="24"/>
        </w:rPr>
        <w:t xml:space="preserve">» </w:t>
      </w:r>
      <w:r w:rsidR="00420EF6">
        <w:rPr>
          <w:sz w:val="24"/>
          <w:szCs w:val="24"/>
        </w:rPr>
        <w:t>декабря</w:t>
      </w:r>
      <w:r w:rsidR="00C76576">
        <w:rPr>
          <w:sz w:val="24"/>
          <w:szCs w:val="24"/>
        </w:rPr>
        <w:t xml:space="preserve"> 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895871" w:rsidRDefault="00895871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</w:p>
    <w:p w:rsidR="005F0FA0" w:rsidRPr="00D82C74" w:rsidRDefault="005F0FA0" w:rsidP="00523001">
      <w:pPr>
        <w:spacing w:before="12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5F0FA0" w:rsidRPr="00D82C74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52635">
        <w:rPr>
          <w:sz w:val="24"/>
          <w:szCs w:val="24"/>
          <w:vertAlign w:val="superscript"/>
        </w:rPr>
        <w:t xml:space="preserve">Е.А. Ермизина 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DE4366">
        <w:rPr>
          <w:sz w:val="24"/>
          <w:szCs w:val="24"/>
          <w:vertAlign w:val="superscript"/>
        </w:rPr>
        <w:t>14 (доб.</w:t>
      </w:r>
      <w:r w:rsidR="00452635">
        <w:rPr>
          <w:sz w:val="24"/>
          <w:szCs w:val="24"/>
          <w:vertAlign w:val="superscript"/>
        </w:rPr>
        <w:t>1234</w:t>
      </w:r>
      <w:r w:rsidR="008A1067">
        <w:rPr>
          <w:sz w:val="24"/>
          <w:szCs w:val="24"/>
          <w:vertAlign w:val="superscript"/>
        </w:rPr>
        <w:t>)</w:t>
      </w:r>
    </w:p>
    <w:p w:rsidR="00A02612" w:rsidRDefault="00A0261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E64B6C" w:rsidRDefault="00025B41" w:rsidP="00025B41">
      <w:pPr>
        <w:ind w:left="360" w:right="-2" w:firstLine="207"/>
        <w:contextualSpacing/>
        <w:jc w:val="center"/>
        <w:rPr>
          <w:rFonts w:eastAsia="Calibri"/>
        </w:rPr>
      </w:pPr>
    </w:p>
    <w:p w:rsidR="00025B41" w:rsidRPr="00674CBF" w:rsidRDefault="00025B41" w:rsidP="00025B41">
      <w:pPr>
        <w:ind w:left="284" w:right="-2"/>
        <w:jc w:val="both"/>
        <w:rPr>
          <w:bCs/>
        </w:rPr>
      </w:pPr>
      <w:r w:rsidRPr="00674CBF">
        <w:t>Настоящим обязуемся</w:t>
      </w:r>
      <w:r w:rsidRPr="00674CBF">
        <w:rPr>
          <w:bCs/>
        </w:rPr>
        <w:t xml:space="preserve"> </w:t>
      </w:r>
      <w:r w:rsidR="009E34D1" w:rsidRPr="009E34D1">
        <w:rPr>
          <w:bCs/>
        </w:rPr>
        <w:t xml:space="preserve">осуществить поставку строго </w:t>
      </w:r>
      <w:r w:rsidRPr="00674CBF">
        <w:t xml:space="preserve">в соответствии с требованиями и условиями, установленными в </w:t>
      </w:r>
      <w:r>
        <w:t>информационном сообщении</w:t>
      </w:r>
      <w:r w:rsidRPr="00674CBF">
        <w:t xml:space="preserve"> </w:t>
      </w:r>
      <w:r w:rsidRPr="00BF6313">
        <w:t xml:space="preserve">о проведении процедуры </w:t>
      </w:r>
      <w:r w:rsidR="009E34D1" w:rsidRPr="009E34D1">
        <w:t>ПДО</w:t>
      </w:r>
      <w:r w:rsidRPr="00BF6313">
        <w:t xml:space="preserve"> на тему </w:t>
      </w:r>
      <w:r>
        <w:t>«</w:t>
      </w:r>
      <w:r w:rsidR="00524C8B" w:rsidRPr="00524C8B">
        <w:rPr>
          <w:rFonts w:eastAsia="Calibri"/>
        </w:rPr>
        <w:t xml:space="preserve">поставка </w:t>
      </w:r>
      <w:r w:rsidR="007D38DC">
        <w:rPr>
          <w:rFonts w:eastAsia="Calibri"/>
        </w:rPr>
        <w:t>мобильных POS-терминалов и</w:t>
      </w:r>
      <w:r w:rsidR="003265FC">
        <w:rPr>
          <w:rFonts w:eastAsia="Calibri"/>
        </w:rPr>
        <w:t xml:space="preserve"> передача прав на встраиваемое в Оборудование программное обеспечение</w:t>
      </w:r>
      <w:r>
        <w:rPr>
          <w:rFonts w:eastAsia="Calibri"/>
        </w:rPr>
        <w:t>»</w:t>
      </w:r>
      <w:r>
        <w:t>,</w:t>
      </w:r>
      <w:r w:rsidRPr="00674CBF">
        <w:t xml:space="preserve"> опубликованной на</w:t>
      </w:r>
      <w:r w:rsidRPr="00674CBF">
        <w:rPr>
          <w:b/>
          <w:i/>
        </w:rPr>
        <w:t xml:space="preserve"> </w:t>
      </w:r>
      <w:r w:rsidRPr="00674CBF">
        <w:t xml:space="preserve">_________________ </w:t>
      </w:r>
      <w:r w:rsidRPr="00674CBF">
        <w:rPr>
          <w:b/>
          <w:i/>
        </w:rPr>
        <w:t>[указывается сайт, на котором опубликована закупка]</w:t>
      </w:r>
      <w:r w:rsidRPr="00674CBF">
        <w:t>, закупка № ______</w:t>
      </w:r>
      <w:r>
        <w:t>___________</w:t>
      </w:r>
      <w:r w:rsidRPr="00674CBF">
        <w:t xml:space="preserve"> </w:t>
      </w:r>
      <w:r w:rsidRPr="00674CBF">
        <w:rPr>
          <w:b/>
          <w:i/>
        </w:rPr>
        <w:t>[указывается номер закупки на указанном сайте].</w:t>
      </w:r>
    </w:p>
    <w:p w:rsidR="00025B41" w:rsidRPr="00674CBF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674CBF">
        <w:t xml:space="preserve">Мы ознакомлены с материалами, содержащимися </w:t>
      </w:r>
      <w:r w:rsidRPr="00BF6313">
        <w:t>в информационном сообщении</w:t>
      </w:r>
      <w:r w:rsidRPr="00674CBF">
        <w:t xml:space="preserve">, влияющими на стоимость </w:t>
      </w:r>
      <w:r w:rsidR="00CE3D3D">
        <w:t>поставки</w:t>
      </w:r>
      <w:r w:rsidRPr="00674CBF">
        <w:t>.</w:t>
      </w:r>
    </w:p>
    <w:p w:rsidR="00025B41" w:rsidRDefault="00524C8B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t xml:space="preserve">Мы согласны </w:t>
      </w:r>
      <w:r w:rsidR="00DF4206">
        <w:t xml:space="preserve">поставить </w:t>
      </w:r>
      <w:r w:rsidR="004B353B" w:rsidRPr="004B353B">
        <w:t xml:space="preserve">товар, предусмотренный </w:t>
      </w:r>
      <w:r w:rsidR="00025B41" w:rsidRPr="00BF6313">
        <w:t xml:space="preserve">в информационном сообщении </w:t>
      </w:r>
      <w:r w:rsidR="00025B41">
        <w:rPr>
          <w:bCs/>
        </w:rPr>
        <w:t>на условиях, указанных в Коммерческом предложени</w:t>
      </w:r>
      <w:r>
        <w:rPr>
          <w:bCs/>
        </w:rPr>
        <w:t>и</w:t>
      </w:r>
      <w:r w:rsidR="00025B41">
        <w:rPr>
          <w:bCs/>
        </w:rPr>
        <w:t>.</w:t>
      </w: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p w:rsidR="00DA25A4" w:rsidRPr="00C42910" w:rsidRDefault="00DA25A4" w:rsidP="00DA25A4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E20A81">
        <w:t xml:space="preserve">Срок действия коммерческого предложения ____ дней (не менее 60 </w:t>
      </w:r>
      <w:r w:rsidRPr="001E6323">
        <w:t>календарных дней).</w:t>
      </w:r>
    </w:p>
    <w:p w:rsidR="00ED3864" w:rsidRDefault="00ED3864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2268"/>
        <w:gridCol w:w="1701"/>
        <w:gridCol w:w="2835"/>
        <w:gridCol w:w="1702"/>
        <w:gridCol w:w="16"/>
        <w:gridCol w:w="1968"/>
        <w:gridCol w:w="16"/>
      </w:tblGrid>
      <w:tr w:rsidR="001E2095" w:rsidRPr="00734E29" w:rsidTr="009D54FB">
        <w:trPr>
          <w:gridAfter w:val="1"/>
          <w:wAfter w:w="16" w:type="dxa"/>
          <w:trHeight w:val="1552"/>
        </w:trPr>
        <w:tc>
          <w:tcPr>
            <w:tcW w:w="562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2095" w:rsidRPr="00734E29" w:rsidRDefault="00724E5C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Общее кол-во (шт.)</w:t>
            </w:r>
          </w:p>
        </w:tc>
        <w:tc>
          <w:tcPr>
            <w:tcW w:w="2268" w:type="dxa"/>
            <w:vAlign w:val="center"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 xml:space="preserve">Максимальная цена 1 за ед. изм., </w:t>
            </w:r>
            <w:r w:rsidR="001C1C0F">
              <w:rPr>
                <w:color w:val="000000"/>
              </w:rPr>
              <w:t xml:space="preserve">в </w:t>
            </w:r>
            <w:r w:rsidRPr="00734E29">
              <w:rPr>
                <w:color w:val="000000"/>
              </w:rPr>
              <w:t>руб.</w:t>
            </w:r>
            <w:r w:rsidR="009D54FB">
              <w:rPr>
                <w:color w:val="000000"/>
              </w:rPr>
              <w:t xml:space="preserve"> с учетом всех налогов и </w:t>
            </w:r>
            <w:bookmarkStart w:id="1" w:name="_GoBack"/>
            <w:r w:rsidR="009D54FB">
              <w:rPr>
                <w:color w:val="000000"/>
              </w:rPr>
              <w:t>сбор</w:t>
            </w:r>
            <w:bookmarkEnd w:id="1"/>
            <w:r w:rsidR="009D54FB">
              <w:rPr>
                <w:color w:val="000000"/>
              </w:rPr>
              <w:t>ов, действующих в соответствии с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Цена за 1 ед.</w:t>
            </w:r>
            <w:r w:rsidR="00452635">
              <w:rPr>
                <w:color w:val="000000"/>
              </w:rPr>
              <w:t xml:space="preserve"> </w:t>
            </w:r>
            <w:r w:rsidRPr="00734E29">
              <w:rPr>
                <w:color w:val="000000"/>
              </w:rPr>
              <w:t xml:space="preserve">изм. без учета НДС, </w:t>
            </w:r>
            <w:r w:rsidR="001C1C0F">
              <w:rPr>
                <w:color w:val="000000"/>
              </w:rPr>
              <w:t xml:space="preserve">в </w:t>
            </w:r>
            <w:r w:rsidRPr="00734E29">
              <w:rPr>
                <w:color w:val="00000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Величина НДС за 1 ед.</w:t>
            </w:r>
            <w:r w:rsidR="00452635">
              <w:rPr>
                <w:color w:val="000000"/>
              </w:rPr>
              <w:t xml:space="preserve"> </w:t>
            </w:r>
            <w:r w:rsidRPr="00734E29">
              <w:rPr>
                <w:color w:val="000000"/>
              </w:rPr>
              <w:t>изм</w:t>
            </w:r>
            <w:r w:rsidR="00452635">
              <w:rPr>
                <w:color w:val="000000"/>
              </w:rPr>
              <w:t>.</w:t>
            </w:r>
            <w:r w:rsidRPr="00734E29">
              <w:rPr>
                <w:color w:val="000000"/>
              </w:rPr>
              <w:t>, руб.</w:t>
            </w:r>
          </w:p>
          <w:p w:rsidR="001E2095" w:rsidRPr="00734E29" w:rsidRDefault="001E2095" w:rsidP="0089587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34E29">
              <w:rPr>
                <w:i/>
                <w:color w:val="000000"/>
                <w:sz w:val="16"/>
                <w:szCs w:val="16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1702" w:type="dxa"/>
            <w:vAlign w:val="center"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Цена за 1 ед.</w:t>
            </w:r>
            <w:r w:rsidR="00452635">
              <w:rPr>
                <w:color w:val="000000"/>
              </w:rPr>
              <w:t xml:space="preserve"> </w:t>
            </w:r>
            <w:r w:rsidRPr="00734E29">
              <w:rPr>
                <w:color w:val="000000"/>
              </w:rPr>
              <w:t xml:space="preserve">изм. с учетом НДС, </w:t>
            </w:r>
            <w:r w:rsidR="006D2A25">
              <w:rPr>
                <w:color w:val="000000"/>
              </w:rPr>
              <w:t xml:space="preserve">в </w:t>
            </w:r>
            <w:r w:rsidRPr="00734E29">
              <w:rPr>
                <w:color w:val="000000"/>
              </w:rPr>
              <w:t>руб.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Сумма за количество в руб., в том числе НДС</w:t>
            </w:r>
          </w:p>
        </w:tc>
      </w:tr>
      <w:tr w:rsidR="001E2095" w:rsidRPr="00734E29" w:rsidTr="009D54FB">
        <w:trPr>
          <w:gridAfter w:val="1"/>
          <w:wAfter w:w="16" w:type="dxa"/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6</w:t>
            </w:r>
          </w:p>
        </w:tc>
        <w:tc>
          <w:tcPr>
            <w:tcW w:w="1702" w:type="dxa"/>
            <w:vAlign w:val="center"/>
          </w:tcPr>
          <w:p w:rsidR="001E2095" w:rsidRPr="00734E29" w:rsidRDefault="00DA25A4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8 (3*7)</w:t>
            </w:r>
          </w:p>
        </w:tc>
      </w:tr>
      <w:tr w:rsidR="003265FC" w:rsidRPr="00734E29" w:rsidTr="009D54FB">
        <w:trPr>
          <w:gridAfter w:val="1"/>
          <w:wAfter w:w="16" w:type="dxa"/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265FC" w:rsidRPr="00734E29" w:rsidRDefault="003265FC" w:rsidP="003265FC">
            <w:r w:rsidRPr="00734E29">
              <w:t xml:space="preserve">Оборудование: </w:t>
            </w:r>
            <w:r w:rsidRPr="00734E29">
              <w:rPr>
                <w:i/>
              </w:rPr>
              <w:t>(указать наименование оборудования)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5FC" w:rsidRPr="00211487" w:rsidRDefault="00211487" w:rsidP="00326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268" w:type="dxa"/>
            <w:vAlign w:val="center"/>
          </w:tcPr>
          <w:p w:rsidR="003265FC" w:rsidRPr="00211487" w:rsidRDefault="00211487" w:rsidP="00326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11 938.67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</w:tr>
      <w:tr w:rsidR="003265FC" w:rsidRPr="00734E29" w:rsidTr="009D54FB">
        <w:trPr>
          <w:gridAfter w:val="1"/>
          <w:wAfter w:w="16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65FC" w:rsidRPr="00734E29" w:rsidRDefault="003265FC" w:rsidP="003265FC">
            <w:r w:rsidRPr="00734E29">
              <w:t xml:space="preserve">Программное обеспечение для 1 единицы Оборудования: </w:t>
            </w:r>
            <w:r w:rsidRPr="00734E29">
              <w:rPr>
                <w:i/>
              </w:rPr>
              <w:t>(указать наименование ПО)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5FC" w:rsidRPr="00211487" w:rsidRDefault="00211487" w:rsidP="00326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268" w:type="dxa"/>
            <w:vAlign w:val="center"/>
          </w:tcPr>
          <w:p w:rsidR="003265FC" w:rsidRPr="00211487" w:rsidRDefault="00211487" w:rsidP="00326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1 065.00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65FC" w:rsidRPr="00734E29" w:rsidRDefault="00DA25A4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не подлежит налогообложению (освобождается от налогообложения) НДС в соответствии с п.п.26 п.2 ст.149 Налогового кодекса Российской Федерации</w:t>
            </w:r>
          </w:p>
        </w:tc>
        <w:tc>
          <w:tcPr>
            <w:tcW w:w="1702" w:type="dxa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</w:tr>
      <w:tr w:rsidR="00A02612" w:rsidRPr="00734E29" w:rsidTr="009D54FB">
        <w:trPr>
          <w:trHeight w:val="300"/>
        </w:trPr>
        <w:tc>
          <w:tcPr>
            <w:tcW w:w="12486" w:type="dxa"/>
            <w:gridSpan w:val="8"/>
          </w:tcPr>
          <w:p w:rsidR="00A02612" w:rsidRPr="00734E29" w:rsidRDefault="00A02612" w:rsidP="00A02612">
            <w:pPr>
              <w:spacing w:before="100" w:beforeAutospacing="1"/>
              <w:jc w:val="right"/>
              <w:rPr>
                <w:color w:val="000000"/>
              </w:rPr>
            </w:pPr>
            <w:r w:rsidRPr="00734E29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2612" w:rsidRPr="00734E29" w:rsidRDefault="00A02612" w:rsidP="00895871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830856" w:rsidRDefault="00830856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B21FA4" w:rsidRDefault="00B21FA4" w:rsidP="00B21FA4">
      <w:pPr>
        <w:pStyle w:val="ab"/>
        <w:tabs>
          <w:tab w:val="left" w:pos="567"/>
        </w:tabs>
        <w:spacing w:before="0"/>
        <w:ind w:left="284"/>
        <w:jc w:val="both"/>
      </w:pPr>
      <w:r w:rsidRPr="00A8526D">
        <w:t>Стоимость одной</w:t>
      </w:r>
      <w:r>
        <w:t xml:space="preserve"> единицы Оборудования</w:t>
      </w:r>
      <w:r w:rsidRPr="00A8526D">
        <w:t xml:space="preserve"> включает в себя стоимость Оборудования, поставки Оборудования на склад Поставщика, его комплексн</w:t>
      </w:r>
      <w:r>
        <w:t>ую</w:t>
      </w:r>
      <w:r w:rsidRPr="00A8526D">
        <w:t xml:space="preserve"> подготовк</w:t>
      </w:r>
      <w:r>
        <w:t>у</w:t>
      </w:r>
      <w:r w:rsidRPr="00A8526D">
        <w:t xml:space="preserve">, </w:t>
      </w:r>
      <w:r>
        <w:t xml:space="preserve">хранение </w:t>
      </w:r>
      <w:r w:rsidRPr="00A8526D">
        <w:t>на складе Поставщика в течение 6 месяцев с даты подписания Сторонами Ведомости/Акта</w:t>
      </w:r>
      <w:r>
        <w:t xml:space="preserve"> приема-передачи Оборудования и</w:t>
      </w:r>
      <w:r w:rsidRPr="00A8526D">
        <w:t xml:space="preserve"> доставки по адресу Покупателя</w:t>
      </w:r>
    </w:p>
    <w:p w:rsidR="00B21FA4" w:rsidRDefault="00B21FA4" w:rsidP="00B21FA4">
      <w:pPr>
        <w:pStyle w:val="ab"/>
        <w:tabs>
          <w:tab w:val="left" w:pos="567"/>
        </w:tabs>
        <w:spacing w:before="0"/>
        <w:ind w:left="284"/>
        <w:jc w:val="both"/>
        <w:rPr>
          <w:bCs/>
        </w:rPr>
      </w:pPr>
    </w:p>
    <w:p w:rsidR="00724E5C" w:rsidRPr="00A8526D" w:rsidRDefault="00DF4206" w:rsidP="00724E5C">
      <w:pPr>
        <w:pStyle w:val="ab"/>
        <w:tabs>
          <w:tab w:val="left" w:pos="567"/>
        </w:tabs>
        <w:spacing w:before="0"/>
        <w:ind w:left="709" w:hanging="425"/>
        <w:jc w:val="both"/>
      </w:pPr>
      <w:r w:rsidRPr="00C42910">
        <w:rPr>
          <w:bCs/>
        </w:rPr>
        <w:t xml:space="preserve">Стоимость предложения составляет </w:t>
      </w:r>
      <w:r w:rsidR="00724E5C" w:rsidRPr="00A8526D">
        <w:t>________________________</w:t>
      </w:r>
      <w:r w:rsidR="00724E5C">
        <w:t xml:space="preserve">рублей </w:t>
      </w:r>
      <w:r w:rsidR="00724E5C" w:rsidRPr="00C42910">
        <w:rPr>
          <w:bCs/>
          <w:i/>
        </w:rPr>
        <w:t>(значение, указанное в графе «ИТОГО» столбца «Сумма за количество в руб., в том числе НДС»)</w:t>
      </w:r>
      <w:r w:rsidR="00724E5C" w:rsidRPr="00817D5D">
        <w:t xml:space="preserve">, </w:t>
      </w:r>
      <w:r w:rsidR="00724E5C" w:rsidRPr="00E45F9F">
        <w:t>в т.ч. НДС.</w:t>
      </w:r>
      <w:r w:rsidR="00724E5C">
        <w:t xml:space="preserve"> </w:t>
      </w:r>
      <w:r w:rsidR="00724E5C" w:rsidRPr="00A8526D">
        <w:t>Цена складывается из стоимости</w:t>
      </w:r>
      <w:r w:rsidR="00724E5C">
        <w:t xml:space="preserve"> всего </w:t>
      </w:r>
      <w:r w:rsidR="00724E5C" w:rsidRPr="00A8526D">
        <w:t xml:space="preserve">Оборудования </w:t>
      </w:r>
      <w:r w:rsidR="00724E5C">
        <w:t xml:space="preserve">и вознаграждения за передачу прав пользования ПО. </w:t>
      </w:r>
      <w:r w:rsidR="00724E5C" w:rsidRPr="00A8526D">
        <w:t>Налог на добавленную стоимость (НДС) включен в цену Договора в соответствии с требованиями Налогового кодекса Российской Федерации:</w:t>
      </w:r>
    </w:p>
    <w:p w:rsidR="00724E5C" w:rsidRPr="00A8526D" w:rsidRDefault="00724E5C" w:rsidP="00724E5C">
      <w:pPr>
        <w:pStyle w:val="ab"/>
        <w:numPr>
          <w:ilvl w:val="0"/>
          <w:numId w:val="32"/>
        </w:numPr>
        <w:tabs>
          <w:tab w:val="left" w:pos="567"/>
        </w:tabs>
        <w:spacing w:before="0"/>
        <w:ind w:left="709" w:hanging="425"/>
        <w:jc w:val="both"/>
      </w:pPr>
      <w:r w:rsidRPr="00A8526D">
        <w:t>реализация Оборуд</w:t>
      </w:r>
      <w:r w:rsidR="00211487">
        <w:t>ования облагается по ставке НДС</w:t>
      </w:r>
      <w:r w:rsidR="00452635" w:rsidRPr="00A8526D">
        <w:t>;</w:t>
      </w:r>
      <w:r w:rsidR="00452635" w:rsidRPr="00C42910">
        <w:rPr>
          <w:bCs/>
        </w:rPr>
        <w:t xml:space="preserve"> [</w:t>
      </w:r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724E5C" w:rsidRPr="00A8526D" w:rsidRDefault="00724E5C" w:rsidP="00724E5C">
      <w:pPr>
        <w:pStyle w:val="ab"/>
        <w:numPr>
          <w:ilvl w:val="0"/>
          <w:numId w:val="32"/>
        </w:numPr>
        <w:tabs>
          <w:tab w:val="left" w:pos="567"/>
        </w:tabs>
        <w:spacing w:before="0"/>
        <w:ind w:left="709" w:hanging="425"/>
        <w:jc w:val="both"/>
      </w:pPr>
      <w:r w:rsidRPr="00A8526D">
        <w:t>реализация ПО – передача права на использование (простая (неисключительная) лицензия) программного обеспечения не подлежит налогообложению (освобождается от налогообложения) НДС в соответствии с п.п.26 п.2 ст.149 Налогового кодекса Российской Федерации.</w:t>
      </w:r>
    </w:p>
    <w:p w:rsidR="00724E5C" w:rsidRDefault="00724E5C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A36093" w:rsidRPr="00DA25A4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DA25A4">
        <w:rPr>
          <w:bCs/>
        </w:rPr>
        <w:t>Поставка Оборудования и ПО осуществляется на склад Поставщика по адресу: _____________________</w:t>
      </w:r>
      <w:r w:rsidR="00452635" w:rsidRPr="00DA25A4">
        <w:rPr>
          <w:bCs/>
        </w:rPr>
        <w:t>_</w:t>
      </w:r>
      <w:r w:rsidR="00452635">
        <w:rPr>
          <w:bCs/>
        </w:rPr>
        <w:t xml:space="preserve"> (</w:t>
      </w:r>
      <w:r w:rsidRPr="00DA25A4">
        <w:rPr>
          <w:bCs/>
          <w:i/>
        </w:rPr>
        <w:t>указывается адрес склада поставщика</w:t>
      </w:r>
      <w:r>
        <w:rPr>
          <w:bCs/>
        </w:rPr>
        <w:t>)</w:t>
      </w:r>
      <w:r w:rsidRPr="00DA25A4">
        <w:rPr>
          <w:bCs/>
        </w:rPr>
        <w:t>.</w:t>
      </w: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DA25A4">
        <w:rPr>
          <w:bCs/>
        </w:rPr>
        <w:t>Поставка Оборудования и ПО осуществляется в течение ____ (</w:t>
      </w:r>
      <w:r>
        <w:rPr>
          <w:bCs/>
          <w:i/>
        </w:rPr>
        <w:t xml:space="preserve">указывается количество календарных дней доставки оборудования на склад, </w:t>
      </w:r>
      <w:r w:rsidR="00B21FA4">
        <w:rPr>
          <w:bCs/>
          <w:i/>
        </w:rPr>
        <w:t>значение должно</w:t>
      </w:r>
      <w:r>
        <w:rPr>
          <w:bCs/>
          <w:i/>
        </w:rPr>
        <w:t xml:space="preserve"> быть целым, не должно превышать 30 календарных дней</w:t>
      </w:r>
      <w:r w:rsidRPr="00DA25A4">
        <w:rPr>
          <w:bCs/>
        </w:rPr>
        <w:t>) календарных дней с даты заключения Договора.</w:t>
      </w: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A8526D">
        <w:t>Срок гарантии на Оборудование составляет</w:t>
      </w:r>
      <w:r>
        <w:t xml:space="preserve"> </w:t>
      </w:r>
      <w:r w:rsidRPr="00357982">
        <w:t>_____</w:t>
      </w:r>
      <w:r>
        <w:t xml:space="preserve"> (</w:t>
      </w:r>
      <w:r w:rsidRPr="00DA25A4">
        <w:rPr>
          <w:i/>
        </w:rPr>
        <w:t xml:space="preserve">указывается количество </w:t>
      </w:r>
      <w:r>
        <w:rPr>
          <w:i/>
        </w:rPr>
        <w:t>месяцев, з</w:t>
      </w:r>
      <w:r w:rsidRPr="00DA25A4">
        <w:rPr>
          <w:i/>
        </w:rPr>
        <w:t xml:space="preserve">начение должно </w:t>
      </w:r>
      <w:r>
        <w:rPr>
          <w:i/>
        </w:rPr>
        <w:t>быть целым, не менее 12 месяцев</w:t>
      </w:r>
      <w:r>
        <w:t>)</w:t>
      </w:r>
      <w:r w:rsidRPr="00A8526D">
        <w:t xml:space="preserve"> месяцев с даты подписания</w:t>
      </w:r>
      <w:r w:rsidRPr="00A8526D">
        <w:rPr>
          <w:b/>
        </w:rPr>
        <w:t xml:space="preserve"> </w:t>
      </w:r>
      <w:r w:rsidRPr="00A8526D">
        <w:t xml:space="preserve">Сторонами </w:t>
      </w:r>
      <w:r>
        <w:t>Акта о доставке О</w:t>
      </w:r>
      <w:r w:rsidRPr="00A8526D">
        <w:t>борудования.</w:t>
      </w:r>
    </w:p>
    <w:p w:rsidR="00A36093" w:rsidRPr="00C42910" w:rsidRDefault="00A36093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DF4206" w:rsidRPr="00DA25A4" w:rsidRDefault="00DF4206" w:rsidP="00A02612">
      <w:pPr>
        <w:spacing w:after="200"/>
        <w:ind w:left="284" w:right="567"/>
        <w:rPr>
          <w:rFonts w:eastAsia="Calibri"/>
          <w:sz w:val="24"/>
          <w:szCs w:val="24"/>
          <w:vertAlign w:val="superscript"/>
        </w:rPr>
      </w:pPr>
      <w:r w:rsidRPr="00DA25A4">
        <w:rPr>
          <w:rFonts w:eastAsia="Calibri"/>
          <w:sz w:val="24"/>
          <w:szCs w:val="24"/>
          <w:vertAlign w:val="superscript"/>
        </w:rPr>
        <w:t>________________________________________________________________________________________________________</w:t>
      </w:r>
      <w:r w:rsidR="00DA25A4" w:rsidRPr="00DA25A4">
        <w:rPr>
          <w:rFonts w:eastAsia="Calibri"/>
          <w:sz w:val="24"/>
          <w:szCs w:val="24"/>
          <w:vertAlign w:val="superscript"/>
        </w:rPr>
        <w:t xml:space="preserve"> (реквизиты и подпись ответственного лица)</w:t>
      </w:r>
    </w:p>
    <w:p w:rsidR="00A02612" w:rsidRDefault="00A02612" w:rsidP="00DF4206">
      <w:pPr>
        <w:spacing w:after="200"/>
        <w:ind w:right="567"/>
        <w:rPr>
          <w:rFonts w:eastAsia="Calibri"/>
          <w:vertAlign w:val="superscript"/>
        </w:rPr>
      </w:pPr>
    </w:p>
    <w:p w:rsidR="00DA25A4" w:rsidRDefault="00DA25A4" w:rsidP="00DF4206">
      <w:pPr>
        <w:spacing w:after="200"/>
        <w:ind w:right="567"/>
        <w:rPr>
          <w:rFonts w:eastAsia="Calibri"/>
          <w:vertAlign w:val="superscript"/>
        </w:rPr>
        <w:sectPr w:rsidR="00DA25A4" w:rsidSect="00A02612">
          <w:headerReference w:type="default" r:id="rId10"/>
          <w:pgSz w:w="16838" w:h="11906" w:orient="landscape"/>
          <w:pgMar w:top="1134" w:right="1701" w:bottom="851" w:left="709" w:header="709" w:footer="709" w:gutter="0"/>
          <w:cols w:space="708"/>
          <w:docGrid w:linePitch="360"/>
        </w:sectPr>
      </w:pPr>
    </w:p>
    <w:p w:rsidR="00A02612" w:rsidRDefault="00A02612" w:rsidP="00DF4206">
      <w:pPr>
        <w:spacing w:after="200"/>
        <w:ind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lastRenderedPageBreak/>
        <w:t>подпись, фамилия, имя, отчество подписавшего (должность подписавшего и М.П. – для юридических лиц)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Toc396395512"/>
      <w:bookmarkStart w:id="3" w:name="_Toc255987077"/>
      <w:r w:rsidRPr="00A53F88">
        <w:rPr>
          <w:szCs w:val="24"/>
        </w:rPr>
        <w:t xml:space="preserve">АНКЕТА УЧАСТНИКА ПРОЦЕДУРЫ </w:t>
      </w:r>
      <w:bookmarkEnd w:id="2"/>
      <w:bookmarkEnd w:id="3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211487" w:rsidRPr="00BE519F" w:rsidTr="00B02EA4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211487" w:rsidRPr="00BE519F" w:rsidTr="00B02EA4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  <w:tr w:rsidR="00211487" w:rsidRPr="00BE519F" w:rsidTr="00B02EA4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BE519F" w:rsidRDefault="00211487" w:rsidP="00B02EA4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BE519F" w:rsidRDefault="00211487" w:rsidP="00B02EA4">
            <w:pPr>
              <w:widowControl w:val="0"/>
              <w:jc w:val="center"/>
            </w:pPr>
          </w:p>
        </w:tc>
      </w:tr>
    </w:tbl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211487" w:rsidRPr="00BE519F" w:rsidRDefault="00211487" w:rsidP="00211487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A02612"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DF4206" w:rsidRPr="00257C26" w:rsidRDefault="00DF4206" w:rsidP="00DF4206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4</w:t>
      </w:r>
    </w:p>
    <w:p w:rsidR="00DF4206" w:rsidRPr="00D41C3D" w:rsidRDefault="00DF4206" w:rsidP="00DF4206">
      <w:pPr>
        <w:autoSpaceDE w:val="0"/>
        <w:autoSpaceDN w:val="0"/>
        <w:adjustRightInd w:val="0"/>
        <w:jc w:val="both"/>
      </w:pPr>
    </w:p>
    <w:p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7D38DC">
        <w:rPr>
          <w:rFonts w:eastAsia="Calibri"/>
          <w:b/>
          <w:sz w:val="28"/>
          <w:szCs w:val="28"/>
          <w:lang w:eastAsia="ar-SA"/>
        </w:rPr>
        <w:t>мобильных POS-терминалов и</w:t>
      </w:r>
      <w:r w:rsidR="003265FC">
        <w:rPr>
          <w:rFonts w:eastAsia="Calibri"/>
          <w:b/>
          <w:sz w:val="28"/>
          <w:szCs w:val="28"/>
          <w:lang w:eastAsia="ar-SA"/>
        </w:rPr>
        <w:t xml:space="preserve"> передачу прав на встраиваемое в Оборудование программное обеспечение</w:t>
      </w:r>
    </w:p>
    <w:p w:rsidR="00675E4C" w:rsidRDefault="00675E4C" w:rsidP="00675E4C">
      <w:pPr>
        <w:jc w:val="center"/>
        <w:rPr>
          <w:rFonts w:eastAsia="Calibri"/>
          <w:b/>
          <w:lang w:eastAsia="ar-SA"/>
        </w:rPr>
      </w:pPr>
    </w:p>
    <w:p w:rsidR="001F00F1" w:rsidRPr="00484B62" w:rsidRDefault="001F00F1" w:rsidP="001F00F1">
      <w:pPr>
        <w:spacing w:after="200" w:line="276" w:lineRule="auto"/>
        <w:jc w:val="both"/>
        <w:rPr>
          <w:b/>
        </w:rPr>
      </w:pPr>
      <w:r w:rsidRPr="00484B62">
        <w:rPr>
          <w:b/>
        </w:rPr>
        <w:t>Требования к Оборудовани</w:t>
      </w:r>
      <w:r>
        <w:rPr>
          <w:b/>
        </w:rPr>
        <w:t>ю</w:t>
      </w:r>
      <w:r w:rsidRPr="00484B62">
        <w:rPr>
          <w:b/>
        </w:rPr>
        <w:t>: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462"/>
        <w:gridCol w:w="6798"/>
      </w:tblGrid>
      <w:tr w:rsidR="00211487" w:rsidRPr="004C763D" w:rsidTr="00B02EA4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center"/>
            </w:pPr>
            <w:r w:rsidRPr="004C763D">
              <w:t>Функциональные параметры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center"/>
            </w:pPr>
            <w:r w:rsidRPr="004C763D">
              <w:t>Описание</w:t>
            </w:r>
          </w:p>
        </w:tc>
      </w:tr>
      <w:tr w:rsidR="00211487" w:rsidRPr="004C763D" w:rsidTr="00B02EA4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</w:pPr>
            <w:r w:rsidRPr="004C763D">
              <w:t>Типы принимаемых карт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 xml:space="preserve">Возможность приема банковских карт по магнитной полосе, </w:t>
            </w:r>
            <w:r>
              <w:t>чипу и бесконтактной технологии.</w:t>
            </w:r>
          </w:p>
        </w:tc>
      </w:tr>
      <w:tr w:rsidR="00211487" w:rsidRPr="004C763D" w:rsidTr="00B02EA4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 xml:space="preserve">Обеспечение проведения </w:t>
            </w:r>
            <w:proofErr w:type="spellStart"/>
            <w:r w:rsidRPr="004C763D">
              <w:t>эквайринговых</w:t>
            </w:r>
            <w:proofErr w:type="spellEnd"/>
            <w:r w:rsidRPr="004C763D">
              <w:t xml:space="preserve"> операций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Возможность проведения операций Оплата, Возврат, Пополнение, Запрос Баланса, Выдача.</w:t>
            </w:r>
          </w:p>
        </w:tc>
      </w:tr>
      <w:tr w:rsidR="00211487" w:rsidRPr="004C763D" w:rsidTr="00B02EA4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center"/>
            </w:pPr>
            <w:r w:rsidRPr="004C763D">
              <w:t>Технические параметры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center"/>
            </w:pPr>
            <w:r w:rsidRPr="004C763D">
              <w:t>Описание</w:t>
            </w:r>
          </w:p>
        </w:tc>
      </w:tr>
      <w:tr w:rsidR="00211487" w:rsidRPr="004C763D" w:rsidTr="00B02EA4">
        <w:trPr>
          <w:trHeight w:val="5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Условия эксплуатации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Рабочая температура: от -10°C до +50°C</w:t>
            </w:r>
          </w:p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Температура хранения: от -20°C до +70°C</w:t>
            </w:r>
          </w:p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Относительная влажность от 5% до 90% без конденсации</w:t>
            </w:r>
          </w:p>
        </w:tc>
      </w:tr>
      <w:tr w:rsidR="00211487" w:rsidRPr="004C763D" w:rsidTr="00B02EA4">
        <w:trPr>
          <w:trHeight w:val="5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Питание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 xml:space="preserve">АКБ емкостью не ниже 2200 </w:t>
            </w:r>
            <w:proofErr w:type="spellStart"/>
            <w:r w:rsidRPr="004C763D">
              <w:rPr>
                <w:lang w:val="en-US"/>
              </w:rPr>
              <w:t>mAh</w:t>
            </w:r>
            <w:proofErr w:type="spellEnd"/>
            <w:r w:rsidRPr="004C763D">
              <w:t>, стационарное зарядное устройство.</w:t>
            </w:r>
          </w:p>
        </w:tc>
      </w:tr>
      <w:tr w:rsidR="00211487" w:rsidRPr="004C763D" w:rsidTr="00B02EA4">
        <w:trPr>
          <w:trHeight w:val="5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Варианты связи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  <w:rPr>
                <w:lang w:val="en-US"/>
              </w:rPr>
            </w:pPr>
            <w:r w:rsidRPr="004C763D">
              <w:rPr>
                <w:lang w:val="en-US"/>
              </w:rPr>
              <w:t xml:space="preserve">GPRS </w:t>
            </w:r>
            <w:r w:rsidRPr="004C763D">
              <w:t>и\или</w:t>
            </w:r>
            <w:r w:rsidRPr="004C763D">
              <w:rPr>
                <w:lang w:val="en-US"/>
              </w:rPr>
              <w:t xml:space="preserve"> 3G</w:t>
            </w:r>
          </w:p>
        </w:tc>
      </w:tr>
      <w:tr w:rsidR="00211487" w:rsidRPr="004C763D" w:rsidTr="00B02EA4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Клавиатура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rPr>
                <w:shd w:val="clear" w:color="auto" w:fill="FFFFFF"/>
              </w:rPr>
              <w:t>Буквенно-цифровая клавиатура 10 клавиш, наличие функциональных клавиш (настраиваемых), наличие подсветки.</w:t>
            </w:r>
          </w:p>
        </w:tc>
      </w:tr>
      <w:tr w:rsidR="00211487" w:rsidRPr="004C763D" w:rsidTr="00B02EA4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Считыватель карт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rPr>
                <w:shd w:val="clear" w:color="auto" w:fill="FFFFFF"/>
              </w:rPr>
              <w:t xml:space="preserve">Магнитная полоса </w:t>
            </w:r>
            <w:r w:rsidRPr="004C763D">
              <w:rPr>
                <w:shd w:val="clear" w:color="auto" w:fill="FFFFFF"/>
                <w:lang w:val="en-US"/>
              </w:rPr>
              <w:t>ISO</w:t>
            </w:r>
            <w:r w:rsidRPr="004C763D">
              <w:rPr>
                <w:shd w:val="clear" w:color="auto" w:fill="FFFFFF"/>
              </w:rPr>
              <w:t xml:space="preserve">7810,7811,7813, треки: 1,2,3; считывание карты в любом направлении; EMV/PBOC 2.0, чтение/запись карт, встроенный считыватель бесконтактных карт ISO14443 с индикатором </w:t>
            </w:r>
          </w:p>
        </w:tc>
      </w:tr>
      <w:tr w:rsidR="00211487" w:rsidRPr="004C763D" w:rsidTr="00B02EA4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Тип монитора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>
              <w:t xml:space="preserve">Цветной </w:t>
            </w:r>
            <w:r w:rsidRPr="004C763D">
              <w:t>ЖК экран с разрешением не менее 320х240</w:t>
            </w:r>
          </w:p>
        </w:tc>
      </w:tr>
      <w:tr w:rsidR="00211487" w:rsidRPr="004C763D" w:rsidTr="00B02EA4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Память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rPr>
                <w:lang w:val="en-US"/>
              </w:rPr>
              <w:t>Flash</w:t>
            </w:r>
            <w:r w:rsidRPr="004C763D">
              <w:t xml:space="preserve"> не менее 128 </w:t>
            </w:r>
            <w:r w:rsidRPr="004C763D">
              <w:rPr>
                <w:lang w:val="en-US"/>
              </w:rPr>
              <w:t>Mb</w:t>
            </w:r>
            <w:r w:rsidRPr="004C763D">
              <w:t xml:space="preserve"> для хранения данных, </w:t>
            </w:r>
            <w:r w:rsidRPr="004C763D">
              <w:rPr>
                <w:lang w:val="en-US"/>
              </w:rPr>
              <w:t>DDRRAM</w:t>
            </w:r>
            <w:r w:rsidRPr="004C763D">
              <w:t xml:space="preserve"> не менее 32 </w:t>
            </w:r>
            <w:r w:rsidRPr="004C763D">
              <w:rPr>
                <w:lang w:val="en-US"/>
              </w:rPr>
              <w:t>Mb</w:t>
            </w:r>
            <w:r w:rsidRPr="004C763D">
              <w:t xml:space="preserve"> для выполнения программ. </w:t>
            </w:r>
          </w:p>
        </w:tc>
      </w:tr>
      <w:tr w:rsidR="00211487" w:rsidRPr="004C763D" w:rsidTr="00B02EA4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Принтер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Термопринтер.</w:t>
            </w:r>
          </w:p>
        </w:tc>
      </w:tr>
      <w:tr w:rsidR="00211487" w:rsidRPr="004C763D" w:rsidTr="00B02EA4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Индикаторы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Светодиодные индикаторы, зуммер.</w:t>
            </w:r>
          </w:p>
        </w:tc>
      </w:tr>
      <w:tr w:rsidR="00211487" w:rsidRPr="004C763D" w:rsidTr="00B02EA4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t>Сертификаты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</w:pPr>
            <w:r w:rsidRPr="004C763D">
              <w:rPr>
                <w:lang w:val="en-US"/>
              </w:rPr>
              <w:t>PCI</w:t>
            </w:r>
            <w:r w:rsidRPr="004C763D">
              <w:t xml:space="preserve"> </w:t>
            </w:r>
            <w:r w:rsidRPr="004C763D">
              <w:rPr>
                <w:lang w:val="en-US"/>
              </w:rPr>
              <w:t>PTS</w:t>
            </w:r>
            <w:r w:rsidRPr="004C763D">
              <w:t xml:space="preserve"> </w:t>
            </w:r>
            <w:r w:rsidRPr="004C763D">
              <w:rPr>
                <w:lang w:val="en-US"/>
              </w:rPr>
              <w:t>V</w:t>
            </w:r>
            <w:r w:rsidRPr="004C763D">
              <w:t>3</w:t>
            </w:r>
            <w:r w:rsidRPr="004C763D">
              <w:rPr>
                <w:lang w:val="en-US"/>
              </w:rPr>
              <w:t>x</w:t>
            </w:r>
            <w:r w:rsidRPr="004C763D">
              <w:t>/</w:t>
            </w:r>
            <w:r w:rsidRPr="004C763D">
              <w:rPr>
                <w:lang w:val="en-US"/>
              </w:rPr>
              <w:t>V</w:t>
            </w:r>
            <w:r w:rsidRPr="004C763D">
              <w:t>4</w:t>
            </w:r>
            <w:r w:rsidRPr="004C763D">
              <w:rPr>
                <w:lang w:val="en-US"/>
              </w:rPr>
              <w:t>x</w:t>
            </w:r>
            <w:r w:rsidRPr="004C763D">
              <w:t xml:space="preserve">, </w:t>
            </w:r>
          </w:p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lang w:val="en-US"/>
              </w:rPr>
            </w:pPr>
            <w:r w:rsidRPr="004C763D">
              <w:rPr>
                <w:lang w:val="en-US"/>
              </w:rPr>
              <w:t xml:space="preserve">EMV L1&amp;L2 (L2 </w:t>
            </w:r>
            <w:r w:rsidRPr="004C763D">
              <w:t>для</w:t>
            </w:r>
            <w:r w:rsidRPr="004C763D">
              <w:rPr>
                <w:lang w:val="en-US"/>
              </w:rPr>
              <w:t xml:space="preserve"> Terminal Type 22(21), 12(11)) </w:t>
            </w:r>
          </w:p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lang w:val="en-US"/>
              </w:rPr>
            </w:pPr>
            <w:r w:rsidRPr="004C763D">
              <w:rPr>
                <w:lang w:val="en-US"/>
              </w:rPr>
              <w:t xml:space="preserve">EMV Contactless L1, Visa Approval Reference Number (Visa </w:t>
            </w:r>
            <w:proofErr w:type="spellStart"/>
            <w:r w:rsidRPr="004C763D">
              <w:rPr>
                <w:lang w:val="en-US"/>
              </w:rPr>
              <w:t>payWave</w:t>
            </w:r>
            <w:proofErr w:type="spellEnd"/>
            <w:r w:rsidRPr="004C763D">
              <w:rPr>
                <w:lang w:val="en-US"/>
              </w:rPr>
              <w:t xml:space="preserve">), </w:t>
            </w:r>
          </w:p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lang w:val="en-US"/>
              </w:rPr>
            </w:pPr>
            <w:r w:rsidRPr="004C763D">
              <w:rPr>
                <w:lang w:val="en-US"/>
              </w:rPr>
              <w:t xml:space="preserve">EMV Contactless L1, MasterCard Contactless Reader Vendor Product – Letter of Approval (MasterCard </w:t>
            </w:r>
            <w:proofErr w:type="spellStart"/>
            <w:r w:rsidRPr="004C763D">
              <w:rPr>
                <w:lang w:val="en-US"/>
              </w:rPr>
              <w:t>PayPass</w:t>
            </w:r>
            <w:proofErr w:type="spellEnd"/>
            <w:r w:rsidRPr="004C763D">
              <w:rPr>
                <w:lang w:val="en-US"/>
              </w:rPr>
              <w:t xml:space="preserve">), </w:t>
            </w:r>
          </w:p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lang w:val="en-US"/>
              </w:rPr>
            </w:pPr>
            <w:r w:rsidRPr="004C763D">
              <w:rPr>
                <w:lang w:val="en-US"/>
              </w:rPr>
              <w:t xml:space="preserve">TQM Label L1 Contact </w:t>
            </w:r>
          </w:p>
          <w:p w:rsidR="00211487" w:rsidRPr="004C763D" w:rsidRDefault="00211487" w:rsidP="00211487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lang w:val="en-US"/>
              </w:rPr>
            </w:pPr>
            <w:r w:rsidRPr="004C763D">
              <w:rPr>
                <w:lang w:val="en-US"/>
              </w:rPr>
              <w:lastRenderedPageBreak/>
              <w:t>TQM Label L1 Contactless</w:t>
            </w:r>
          </w:p>
        </w:tc>
      </w:tr>
      <w:tr w:rsidR="00211487" w:rsidRPr="009E34D1" w:rsidTr="00B02EA4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r w:rsidRPr="004C763D">
              <w:lastRenderedPageBreak/>
              <w:t>Шифрование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  <w:rPr>
                <w:lang w:val="en-US"/>
              </w:rPr>
            </w:pPr>
            <w:r w:rsidRPr="004C763D">
              <w:rPr>
                <w:lang w:val="en-US"/>
              </w:rPr>
              <w:t xml:space="preserve">3DES Master/Session, DUKPT, AES, RSA, </w:t>
            </w:r>
            <w:r w:rsidRPr="004C763D">
              <w:t>соответствие</w:t>
            </w:r>
            <w:r w:rsidRPr="004C763D">
              <w:rPr>
                <w:lang w:val="en-US"/>
              </w:rPr>
              <w:t xml:space="preserve"> PCI PED 3.0</w:t>
            </w:r>
          </w:p>
        </w:tc>
      </w:tr>
      <w:tr w:rsidR="00211487" w:rsidRPr="004C763D" w:rsidTr="00B02EA4">
        <w:trPr>
          <w:trHeight w:val="2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center"/>
            </w:pPr>
            <w:r w:rsidRPr="004C763D">
              <w:t>Подготовка оборудования</w:t>
            </w:r>
          </w:p>
        </w:tc>
      </w:tr>
      <w:tr w:rsidR="00211487" w:rsidRPr="004C763D" w:rsidTr="00B02EA4">
        <w:trPr>
          <w:trHeight w:val="431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ind w:left="59"/>
              <w:jc w:val="both"/>
            </w:pPr>
            <w:proofErr w:type="spellStart"/>
            <w:r w:rsidRPr="004C763D">
              <w:t>Предэксплуатационная</w:t>
            </w:r>
            <w:proofErr w:type="spellEnd"/>
            <w:r w:rsidRPr="004C763D">
              <w:t xml:space="preserve"> подготовка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jc w:val="both"/>
            </w:pPr>
            <w:r w:rsidRPr="004C763D">
              <w:t xml:space="preserve">Включает в себя процесс установки ПО и стартовой конфигурации параметров на </w:t>
            </w:r>
            <w:r w:rsidRPr="004C763D">
              <w:rPr>
                <w:lang w:val="en-US"/>
              </w:rPr>
              <w:t>POS</w:t>
            </w:r>
            <w:r w:rsidRPr="004C763D">
              <w:t>-терминале</w:t>
            </w:r>
          </w:p>
        </w:tc>
      </w:tr>
      <w:tr w:rsidR="00211487" w:rsidRPr="004C763D" w:rsidTr="00B02EA4">
        <w:trPr>
          <w:trHeight w:val="4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11487" w:rsidRPr="004C763D" w:rsidRDefault="00211487" w:rsidP="00B02EA4">
            <w:pPr>
              <w:spacing w:line="276" w:lineRule="auto"/>
              <w:jc w:val="center"/>
            </w:pPr>
            <w:r w:rsidRPr="004C763D">
              <w:t>Функциональные характеристики терминального ПО</w:t>
            </w:r>
          </w:p>
        </w:tc>
      </w:tr>
      <w:tr w:rsidR="00211487" w:rsidRPr="004C763D" w:rsidTr="00B02EA4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jc w:val="both"/>
            </w:pPr>
            <w:r w:rsidRPr="004C763D">
              <w:t>Поддержка удаленной загрузки ключей (</w:t>
            </w:r>
            <w:r w:rsidRPr="004C763D">
              <w:rPr>
                <w:lang w:val="en-US"/>
              </w:rPr>
              <w:t>RKL</w:t>
            </w:r>
            <w:r w:rsidRPr="004C763D">
              <w:t>).</w:t>
            </w:r>
          </w:p>
        </w:tc>
      </w:tr>
      <w:tr w:rsidR="00211487" w:rsidRPr="004C763D" w:rsidTr="00B02EA4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87" w:rsidRPr="004C763D" w:rsidRDefault="00211487" w:rsidP="00B02EA4">
            <w:pPr>
              <w:spacing w:line="276" w:lineRule="auto"/>
              <w:jc w:val="both"/>
            </w:pPr>
            <w:r w:rsidRPr="004C763D">
              <w:t>Интеграция с процессинговой системой ООО «</w:t>
            </w:r>
            <w:proofErr w:type="spellStart"/>
            <w:r w:rsidRPr="004C763D">
              <w:t>Мультикарта</w:t>
            </w:r>
            <w:proofErr w:type="spellEnd"/>
            <w:r w:rsidRPr="004C763D">
              <w:t xml:space="preserve">» (Протокол ПЦ </w:t>
            </w:r>
            <w:r w:rsidRPr="004C763D">
              <w:rPr>
                <w:lang w:val="en-US"/>
              </w:rPr>
              <w:t>Compass</w:t>
            </w:r>
            <w:r w:rsidRPr="004C763D">
              <w:t xml:space="preserve"> </w:t>
            </w:r>
            <w:r w:rsidRPr="004C763D">
              <w:rPr>
                <w:lang w:val="en-US"/>
              </w:rPr>
              <w:t>Plus</w:t>
            </w:r>
            <w:r w:rsidRPr="004C763D">
              <w:t>) и обеспечение выполнения финансовых операций и административных функций.</w:t>
            </w:r>
          </w:p>
        </w:tc>
      </w:tr>
    </w:tbl>
    <w:p w:rsidR="001F00F1" w:rsidRDefault="001F00F1" w:rsidP="001F00F1"/>
    <w:p w:rsidR="00DA25A4" w:rsidRDefault="00DA25A4" w:rsidP="00DA25A4">
      <w:pPr>
        <w:jc w:val="center"/>
        <w:rPr>
          <w:b/>
          <w:kern w:val="28"/>
        </w:rPr>
      </w:pPr>
    </w:p>
    <w:p w:rsidR="00DA25A4" w:rsidRDefault="00DA25A4" w:rsidP="00DA25A4">
      <w:pPr>
        <w:jc w:val="center"/>
        <w:rPr>
          <w:b/>
          <w:kern w:val="28"/>
        </w:rPr>
      </w:pPr>
      <w:r>
        <w:rPr>
          <w:b/>
          <w:kern w:val="28"/>
        </w:rPr>
        <w:t>Регионы доставки Оборудования</w:t>
      </w:r>
    </w:p>
    <w:p w:rsidR="00DA25A4" w:rsidRPr="0015567E" w:rsidRDefault="00DA25A4" w:rsidP="00DA25A4">
      <w:pPr>
        <w:jc w:val="center"/>
        <w:rPr>
          <w:b/>
        </w:rPr>
      </w:pPr>
    </w:p>
    <w:tbl>
      <w:tblPr>
        <w:tblW w:w="105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4"/>
      </w:tblGrid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Белгородская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Брянская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Владимирская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Волгоградская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Воронежская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Свердловская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Ивановская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Калининградская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Калужская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Кемеровская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Краснодарский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Курская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Липецкая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Московская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Нижегородская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Новосибирская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Омская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Орловская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Оренбургская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Пензенская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Пермский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Карелия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Адыгея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Башкортостан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Бурятия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Дагестан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Ингушетия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Кабардино-Балкарская Республика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Калмыкия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Коми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Марий Эл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Мордовия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Татарстан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Саха (Якутия)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lastRenderedPageBreak/>
              <w:t>Республика Северная Осетия-Алания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Удмуртия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Хакасия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Чувашская республика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Алтайский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Приморский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Хабаровский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Амурская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Астраханская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Архангельская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Вологодская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Иркутская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Кировская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Костромская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Курганская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Магаданская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Мурманская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Новгородская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Псковская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Рязанская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Смоленская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Тамбовская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Томская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Тульская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Ульяновская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Забайкальский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Ярославская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Ростовская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Самарская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Ленинградская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Саратовская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Ставропольский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Тверская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Челябинская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Ханты-Мансийский Автономный округ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Тюменская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Чукотский автономный округ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Еврейская автономная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Ненецкий автономный округ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Ямало-Ненецкий автономный округ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Камчатский край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Сахалинская область</w:t>
            </w:r>
          </w:p>
        </w:tc>
      </w:tr>
      <w:tr w:rsidR="00452635" w:rsidRPr="002E2D74" w:rsidTr="007F394D">
        <w:trPr>
          <w:trHeight w:val="305"/>
        </w:trPr>
        <w:tc>
          <w:tcPr>
            <w:tcW w:w="105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635" w:rsidRPr="002E2D74" w:rsidRDefault="00452635" w:rsidP="00452635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Чеченская Республика</w:t>
            </w:r>
          </w:p>
        </w:tc>
      </w:tr>
    </w:tbl>
    <w:p w:rsidR="00590168" w:rsidRPr="00590168" w:rsidRDefault="00590168" w:rsidP="00C63DAE">
      <w:pPr>
        <w:pStyle w:val="Times12"/>
        <w:ind w:firstLine="0"/>
        <w:rPr>
          <w:b/>
          <w:iCs/>
          <w:szCs w:val="24"/>
        </w:rPr>
      </w:pPr>
    </w:p>
    <w:sectPr w:rsidR="00590168" w:rsidRPr="00590168" w:rsidSect="00C63DAE">
      <w:headerReference w:type="default" r:id="rId11"/>
      <w:footerReference w:type="default" r:id="rId12"/>
      <w:headerReference w:type="first" r:id="rId13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68" w:rsidRDefault="00590168" w:rsidP="00FC5037">
      <w:pPr>
        <w:spacing w:before="0"/>
      </w:pPr>
      <w:r>
        <w:separator/>
      </w:r>
    </w:p>
  </w:endnote>
  <w:endnote w:type="continuationSeparator" w:id="0">
    <w:p w:rsidR="00590168" w:rsidRDefault="00590168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8" w:rsidRPr="00662757" w:rsidRDefault="00590168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90168" w:rsidRDefault="00590168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68" w:rsidRDefault="00590168" w:rsidP="00FC5037">
      <w:pPr>
        <w:spacing w:before="0"/>
      </w:pPr>
      <w:r>
        <w:separator/>
      </w:r>
    </w:p>
  </w:footnote>
  <w:footnote w:type="continuationSeparator" w:id="0">
    <w:p w:rsidR="00590168" w:rsidRDefault="00590168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8" w:rsidRPr="005E4730" w:rsidRDefault="00590168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Pr="00025B41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590168" w:rsidRDefault="00590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8" w:rsidRPr="005E4730" w:rsidRDefault="00590168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Pr="00025B41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8" w:rsidRPr="00741370" w:rsidRDefault="00590168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8" w:rsidRDefault="00590168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168" w:rsidRDefault="00590168" w:rsidP="00115633">
    <w:pPr>
      <w:pStyle w:val="a4"/>
      <w:ind w:left="142"/>
      <w:rPr>
        <w:rFonts w:ascii="Arial" w:hAnsi="Arial" w:cs="Arial"/>
      </w:rPr>
    </w:pPr>
  </w:p>
  <w:p w:rsidR="00590168" w:rsidRPr="005E4730" w:rsidRDefault="00590168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590168" w:rsidRPr="002903CD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590168" w:rsidRDefault="00590168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14561"/>
    <w:multiLevelType w:val="hybridMultilevel"/>
    <w:tmpl w:val="DBC49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E6C0C"/>
    <w:multiLevelType w:val="hybridMultilevel"/>
    <w:tmpl w:val="310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2373"/>
    <w:multiLevelType w:val="hybridMultilevel"/>
    <w:tmpl w:val="3378EB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3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B7981"/>
    <w:multiLevelType w:val="multilevel"/>
    <w:tmpl w:val="2AB02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3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6"/>
  </w:num>
  <w:num w:numId="13">
    <w:abstractNumId w:val="10"/>
  </w:num>
  <w:num w:numId="14">
    <w:abstractNumId w:val="27"/>
  </w:num>
  <w:num w:numId="15">
    <w:abstractNumId w:val="7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8"/>
  </w:num>
  <w:num w:numId="25">
    <w:abstractNumId w:val="14"/>
  </w:num>
  <w:num w:numId="26">
    <w:abstractNumId w:val="4"/>
  </w:num>
  <w:num w:numId="27">
    <w:abstractNumId w:val="31"/>
  </w:num>
  <w:num w:numId="28">
    <w:abstractNumId w:val="13"/>
  </w:num>
  <w:num w:numId="29">
    <w:abstractNumId w:val="2"/>
  </w:num>
  <w:num w:numId="30">
    <w:abstractNumId w:val="3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23047"/>
    <w:rsid w:val="00025B41"/>
    <w:rsid w:val="00036D27"/>
    <w:rsid w:val="000469A5"/>
    <w:rsid w:val="00063663"/>
    <w:rsid w:val="00064C0E"/>
    <w:rsid w:val="000722B0"/>
    <w:rsid w:val="00074F1D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1C0F"/>
    <w:rsid w:val="001C455F"/>
    <w:rsid w:val="001C6C4F"/>
    <w:rsid w:val="001D30F4"/>
    <w:rsid w:val="001D587F"/>
    <w:rsid w:val="001E2095"/>
    <w:rsid w:val="001E6671"/>
    <w:rsid w:val="001F00F1"/>
    <w:rsid w:val="001F2C1A"/>
    <w:rsid w:val="00201FE9"/>
    <w:rsid w:val="00203B13"/>
    <w:rsid w:val="002067A6"/>
    <w:rsid w:val="002067AC"/>
    <w:rsid w:val="00211487"/>
    <w:rsid w:val="00212263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265FC"/>
    <w:rsid w:val="003408D6"/>
    <w:rsid w:val="00347732"/>
    <w:rsid w:val="00361302"/>
    <w:rsid w:val="00370385"/>
    <w:rsid w:val="0037457B"/>
    <w:rsid w:val="003804A3"/>
    <w:rsid w:val="003919D8"/>
    <w:rsid w:val="003A1C96"/>
    <w:rsid w:val="003D4086"/>
    <w:rsid w:val="003D4915"/>
    <w:rsid w:val="00420EF6"/>
    <w:rsid w:val="00437F66"/>
    <w:rsid w:val="00440153"/>
    <w:rsid w:val="00442057"/>
    <w:rsid w:val="00443DBA"/>
    <w:rsid w:val="00452635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41E1"/>
    <w:rsid w:val="00590168"/>
    <w:rsid w:val="005920F8"/>
    <w:rsid w:val="00592AC0"/>
    <w:rsid w:val="005B7481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7322E"/>
    <w:rsid w:val="00675E4C"/>
    <w:rsid w:val="006A1131"/>
    <w:rsid w:val="006A2464"/>
    <w:rsid w:val="006B580B"/>
    <w:rsid w:val="006C0C8F"/>
    <w:rsid w:val="006C3CAA"/>
    <w:rsid w:val="006C7317"/>
    <w:rsid w:val="006D2A25"/>
    <w:rsid w:val="006D3D27"/>
    <w:rsid w:val="006D6BFD"/>
    <w:rsid w:val="006F1174"/>
    <w:rsid w:val="006F11E6"/>
    <w:rsid w:val="00701A36"/>
    <w:rsid w:val="0072286B"/>
    <w:rsid w:val="00724E5C"/>
    <w:rsid w:val="00732BA2"/>
    <w:rsid w:val="00734E29"/>
    <w:rsid w:val="00741370"/>
    <w:rsid w:val="00742ED6"/>
    <w:rsid w:val="00743E45"/>
    <w:rsid w:val="007952E9"/>
    <w:rsid w:val="007A4517"/>
    <w:rsid w:val="007C111B"/>
    <w:rsid w:val="007C1B99"/>
    <w:rsid w:val="007D38DC"/>
    <w:rsid w:val="007E020E"/>
    <w:rsid w:val="007E4A6A"/>
    <w:rsid w:val="008020A2"/>
    <w:rsid w:val="00804689"/>
    <w:rsid w:val="00811FF3"/>
    <w:rsid w:val="00830856"/>
    <w:rsid w:val="00835841"/>
    <w:rsid w:val="00840E9E"/>
    <w:rsid w:val="008425B3"/>
    <w:rsid w:val="0085316E"/>
    <w:rsid w:val="00855F3C"/>
    <w:rsid w:val="00867ED8"/>
    <w:rsid w:val="008735AB"/>
    <w:rsid w:val="0087496C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7AC9"/>
    <w:rsid w:val="00944E19"/>
    <w:rsid w:val="00945486"/>
    <w:rsid w:val="00963D8B"/>
    <w:rsid w:val="009655A6"/>
    <w:rsid w:val="00990D8A"/>
    <w:rsid w:val="00994E76"/>
    <w:rsid w:val="009A74C6"/>
    <w:rsid w:val="009B41D5"/>
    <w:rsid w:val="009D54FB"/>
    <w:rsid w:val="009E30E4"/>
    <w:rsid w:val="009E34D1"/>
    <w:rsid w:val="009F3F25"/>
    <w:rsid w:val="009F4393"/>
    <w:rsid w:val="00A02612"/>
    <w:rsid w:val="00A1224F"/>
    <w:rsid w:val="00A14287"/>
    <w:rsid w:val="00A14F69"/>
    <w:rsid w:val="00A17739"/>
    <w:rsid w:val="00A36093"/>
    <w:rsid w:val="00A6195B"/>
    <w:rsid w:val="00A66E99"/>
    <w:rsid w:val="00A82276"/>
    <w:rsid w:val="00A826A5"/>
    <w:rsid w:val="00AB76ED"/>
    <w:rsid w:val="00AC4FC1"/>
    <w:rsid w:val="00AC512B"/>
    <w:rsid w:val="00AC7507"/>
    <w:rsid w:val="00AE075B"/>
    <w:rsid w:val="00AE6BB2"/>
    <w:rsid w:val="00AF07BB"/>
    <w:rsid w:val="00AF093C"/>
    <w:rsid w:val="00AF4B6D"/>
    <w:rsid w:val="00B039F2"/>
    <w:rsid w:val="00B0622D"/>
    <w:rsid w:val="00B21FA4"/>
    <w:rsid w:val="00B34153"/>
    <w:rsid w:val="00B3597F"/>
    <w:rsid w:val="00B75A3B"/>
    <w:rsid w:val="00B801DD"/>
    <w:rsid w:val="00BA3769"/>
    <w:rsid w:val="00BB6943"/>
    <w:rsid w:val="00BC52D7"/>
    <w:rsid w:val="00BF34D2"/>
    <w:rsid w:val="00BF6313"/>
    <w:rsid w:val="00C01A0D"/>
    <w:rsid w:val="00C16D66"/>
    <w:rsid w:val="00C26332"/>
    <w:rsid w:val="00C461CC"/>
    <w:rsid w:val="00C57F04"/>
    <w:rsid w:val="00C63DAE"/>
    <w:rsid w:val="00C74054"/>
    <w:rsid w:val="00C76576"/>
    <w:rsid w:val="00C81869"/>
    <w:rsid w:val="00C943AE"/>
    <w:rsid w:val="00CA013A"/>
    <w:rsid w:val="00CE3D3D"/>
    <w:rsid w:val="00CE4C0A"/>
    <w:rsid w:val="00CF4697"/>
    <w:rsid w:val="00D00C3E"/>
    <w:rsid w:val="00D04315"/>
    <w:rsid w:val="00D129AC"/>
    <w:rsid w:val="00D303E0"/>
    <w:rsid w:val="00D36F37"/>
    <w:rsid w:val="00D37A8D"/>
    <w:rsid w:val="00D37F27"/>
    <w:rsid w:val="00D62D93"/>
    <w:rsid w:val="00D86AB7"/>
    <w:rsid w:val="00D91557"/>
    <w:rsid w:val="00DA25A4"/>
    <w:rsid w:val="00DA3423"/>
    <w:rsid w:val="00DB115D"/>
    <w:rsid w:val="00DC264A"/>
    <w:rsid w:val="00DD1E78"/>
    <w:rsid w:val="00DD3702"/>
    <w:rsid w:val="00DD51E3"/>
    <w:rsid w:val="00DE1113"/>
    <w:rsid w:val="00DE4366"/>
    <w:rsid w:val="00DF4206"/>
    <w:rsid w:val="00E06287"/>
    <w:rsid w:val="00E56223"/>
    <w:rsid w:val="00E724B4"/>
    <w:rsid w:val="00E74D68"/>
    <w:rsid w:val="00E802DE"/>
    <w:rsid w:val="00E859F3"/>
    <w:rsid w:val="00ED283C"/>
    <w:rsid w:val="00ED3864"/>
    <w:rsid w:val="00F00282"/>
    <w:rsid w:val="00F01C17"/>
    <w:rsid w:val="00F04050"/>
    <w:rsid w:val="00F06836"/>
    <w:rsid w:val="00F24D5A"/>
    <w:rsid w:val="00F30147"/>
    <w:rsid w:val="00F339BD"/>
    <w:rsid w:val="00F512B5"/>
    <w:rsid w:val="00F60BAD"/>
    <w:rsid w:val="00F6329C"/>
    <w:rsid w:val="00F649EF"/>
    <w:rsid w:val="00F66DCE"/>
    <w:rsid w:val="00F70178"/>
    <w:rsid w:val="00F777F7"/>
    <w:rsid w:val="00F84A7E"/>
    <w:rsid w:val="00FA3147"/>
    <w:rsid w:val="00FB5A84"/>
    <w:rsid w:val="00FC5037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F5264D0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F0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AC97-DF5D-45CF-93C2-94052C3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Гуляев Алексей Валерьевич</cp:lastModifiedBy>
  <cp:revision>20</cp:revision>
  <cp:lastPrinted>2016-11-18T11:30:00Z</cp:lastPrinted>
  <dcterms:created xsi:type="dcterms:W3CDTF">2018-07-23T07:51:00Z</dcterms:created>
  <dcterms:modified xsi:type="dcterms:W3CDTF">2018-12-14T13:05:00Z</dcterms:modified>
</cp:coreProperties>
</file>