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720079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5051206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FE6FFE" w:rsidRPr="00FE6FFE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sz w:val="24"/>
          <w:lang w:val="en-US" w:eastAsia="ru-RU"/>
        </w:rPr>
        <w:t>.0</w:t>
      </w:r>
      <w:r w:rsidR="00FE6FFE">
        <w:rPr>
          <w:rFonts w:ascii="Times New Roman" w:eastAsia="Times New Roman" w:hAnsi="Times New Roman"/>
          <w:b/>
          <w:sz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lang w:val="en-US" w:eastAsia="ru-RU"/>
        </w:rPr>
        <w:t>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1208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i.pakhomov@uszo.ru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Пахомов Иван Игоревич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30-39-41, info@biyskenergo.ru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Лампы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862 382,50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Ц 235-245-10 В15D/18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КОММУТАТОРНАЯ КМ-60-50, 60В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ГАЛОГЕННАЯ 12V 50W G6.35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LED-T8 18W/1200MM 4200K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E27 30ВТ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СВЕТОДИОДНАЯ LED-Т8 10W/600ММ 4000К G13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НАКАЛИВАНИЯ ЛН-60 220В Е27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35ВТ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Е27 105ВТ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ЛАМПА ЭНЕРГОСБЕРЕГАЮЩАЯ Е27 25ВТ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659322, Россия, Алтайский край, г. Бийск, ул.Михаила Кутузова, 116 АО "Бийскэнерго"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Поставщик обязуется осуществлять поставку продукции, прошедшей обязательную сертификацию или декларирование соответствия в соответствии с действующими требованиями законодательства РФ. Обязательное наличие документов, удостоверяющих качество продукции, а также деклараций и сертификатов соответствия в момент поставки продукции на склад Покупателя. Гарантийный срок на поставляемую продукцию согласно документации изготовителя, но не менее 24 месяцев с момента ввода в эксплуатацию и не более 30 месяцев с момента поставки на склад Покупателя. Срок поставки 30 дней с момента письменных заявок. Соответствие техническому заданию, прописанному в приложении. Поставляемая продукция должна быть новой, дата изготовления не ранее 2017г. (продукция, которая не была в употреблении, не прошла ремонт, в том числе восстановление, замену составных частей, восстановление потребительских свойств), без каких-либо ограничений (залог, арест, запрет и т.д) к свободному обращению на территории РФ. Продукция не должна представлять опасности для жизни и здоровья граждан. Продукция должна поставляться в упаковке без нарушения целостности транспортной и фабричной упаковки, без повреждения самой упаковки продукции.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расчет, по факту поставки продукции на склад Покупателя в течение 30 дней. Авансирование не предусмотрено, предложения, содержащие аванс не рассматриваются.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расходов на перевозку, страхование, уплату таможенных пошлин, налогов (без учета НДС) и других обязательных платежей.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В случае предложения замены, наименование предлагаемой продукции и производителей должно быть прописано в коммерческом предложении, поля "аналог" и "производитель" обязательны для заполнения.  Заменяемая продукция должна совпадать с заявляемыми данными: тип цоколя, мощность не ниже, напряжение, габаритные размеры, световой поток не ниже (если указан в заявке), цветовая температура от 4000К до 5000К.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да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F9462B" w:rsidRPr="00953414" w:rsidRDefault="00F9462B" w:rsidP="00A64972">
      <w:pPr>
        <w:pStyle w:val="afe"/>
      </w:pPr>
      <w:bookmarkStart w:id="29" w:name="order_participant_req"/>
      <w:r>
        <w:t>При подаче коммерческого предложения необходимо предоставить сертификаты соответствия на изделие, паспорт предлагаемой продукции. При замене продукции аналогом участнику необходимо приложить развернутое сравнение технических характеристик требуемой продукции и предложенного аналога.</w:t>
      </w:r>
      <w:bookmarkEnd w:id="29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30" w:name="offer_date"/>
      <w:r w:rsidRPr="00CC0F25">
        <w:rPr>
          <w:b/>
          <w:u w:val="single"/>
        </w:rPr>
        <w:t>12-00 15.03.18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31" w:name="protocol_date"/>
      <w:r w:rsidR="00CC0F25">
        <w:rPr>
          <w:b/>
        </w:rPr>
        <w:t>0</w:t>
      </w:r>
      <w:r w:rsidR="00FE6FFE">
        <w:rPr>
          <w:b/>
        </w:rPr>
        <w:t>4</w:t>
      </w:r>
      <w:bookmarkStart w:id="32" w:name="_GoBack"/>
      <w:bookmarkEnd w:id="32"/>
      <w:r>
        <w:rPr>
          <w:b/>
        </w:rPr>
        <w:t>.0</w:t>
      </w:r>
      <w:r w:rsidR="00CC0F25">
        <w:rPr>
          <w:b/>
        </w:rPr>
        <w:t>4</w:t>
      </w:r>
      <w:r>
        <w:rPr>
          <w:b/>
        </w:rPr>
        <w:t>.2018</w:t>
      </w:r>
      <w:bookmarkEnd w:id="31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3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lastRenderedPageBreak/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RDefault="00B94A5D" w:rsidP="00A64972">
      <w:pPr>
        <w:pStyle w:val="2"/>
      </w:pPr>
      <w:bookmarkStart w:id="35" w:name="smsp_1352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6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6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lastRenderedPageBreak/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7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7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RDefault="00BB2C84" w:rsidP="00A64972">
      <w:pPr>
        <w:pStyle w:val="3"/>
      </w:pPr>
      <w:bookmarkStart w:id="38" w:name="condition_SMSP1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="00A05C14" w:rsidRPr="00971BD8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r:id="rId10" w:history="1">
        <w:r w:rsidRPr="00971BD8">
          <w:rPr>
            <w:rStyle w:val="a9"/>
            <w:b/>
            <w:color w:val="auto"/>
          </w:rPr>
          <w:t xml:space="preserve">едином реестре </w:t>
        </w:r>
        <w:r w:rsidR="00A05C14" w:rsidRPr="00971BD8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="00085E45" w:rsidRPr="00085E45">
        <w:t>, если участник является вновь зарегис</w:t>
      </w:r>
      <w:r w:rsidR="00085E45">
        <w:t>трированным индивидуальным пред</w:t>
      </w:r>
      <w:r w:rsidR="00085E45" w:rsidRPr="00085E45">
        <w:t>принимателем или вновь созданным юридическим лицом</w:t>
      </w:r>
      <w:r w:rsidR="00085E45">
        <w:t xml:space="preserve">, </w:t>
      </w:r>
      <w:r w:rsidR="00085E45" w:rsidRPr="00085E45">
        <w:t xml:space="preserve">и данные о нем еще не внесены в </w:t>
      </w:r>
      <w:hyperlink r:id="rId11" w:history="1">
        <w:r w:rsidR="00085E45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38"/>
    </w:p>
    <w:p w:rsidR="00BB2C84" w:rsidRDefault="00BB2C84" w:rsidP="00A64972">
      <w:pPr>
        <w:pStyle w:val="3"/>
      </w:pPr>
      <w:bookmarkStart w:id="39" w:name="condition_SMSP2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="006B5BAC" w:rsidRPr="00895A59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="006B5BAC" w:rsidRP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r:id="rId12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39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294681" w:rsidRDefault="00294681" w:rsidP="00F9280E">
      <w:pPr>
        <w:pStyle w:val="3"/>
      </w:pPr>
      <w:bookmarkStart w:id="41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1"/>
    </w:p>
    <w:p w:rsidR="00895A59" w:rsidRDefault="00895A59" w:rsidP="00A64972">
      <w:pPr>
        <w:pStyle w:val="3"/>
      </w:pPr>
      <w:bookmarkStart w:id="42" w:name="documents_SMSP_declaration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="006B5BAC" w:rsidRP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="00DB24BA" w:rsidRPr="006B5BAC">
        <w:t xml:space="preserve"> </w:t>
      </w:r>
      <w:r w:rsidR="006B5BAC" w:rsidRPr="006B5BAC">
        <w:t xml:space="preserve">является вновь зарегистрированным ИП или вновь созданным ЮЛ, и данные о нем еще не внесены в </w:t>
      </w:r>
      <w:hyperlink r:id="rId13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2"/>
    </w:p>
    <w:p w:rsidR="00BB42AC" w:rsidRPr="00B1387F" w:rsidRDefault="00BB42AC" w:rsidP="00A64972">
      <w:pPr>
        <w:pStyle w:val="3"/>
        <w:rPr>
          <w:b/>
        </w:rPr>
      </w:pPr>
      <w:bookmarkStart w:id="43" w:name="documents_UL_block"/>
      <w:r w:rsidRPr="00B1387F">
        <w:rPr>
          <w:b/>
        </w:rPr>
        <w:t>Российскими юридическими лицами:</w:t>
      </w:r>
      <w:bookmarkEnd w:id="43"/>
    </w:p>
    <w:p w:rsidR="00BB42AC" w:rsidRDefault="00BB42AC" w:rsidP="00A64972">
      <w:pPr>
        <w:pStyle w:val="4"/>
      </w:pPr>
      <w:bookmarkStart w:id="44" w:name="documents_ustav"/>
      <w:r w:rsidRPr="005A1083">
        <w:t>Устав;</w:t>
      </w:r>
      <w:bookmarkEnd w:id="44"/>
    </w:p>
    <w:p w:rsidR="00BB42AC" w:rsidRPr="00A64972" w:rsidRDefault="00BB42AC" w:rsidP="00A64972">
      <w:pPr>
        <w:pStyle w:val="4"/>
      </w:pPr>
      <w:bookmarkStart w:id="45" w:name="documents_EIO_pravo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5"/>
    </w:p>
    <w:p w:rsidR="00BB42AC" w:rsidRDefault="00BB42AC" w:rsidP="00A64972">
      <w:pPr>
        <w:pStyle w:val="4"/>
      </w:pPr>
      <w:bookmarkStart w:id="46" w:name="documents_sdelka"/>
      <w:r w:rsidRPr="005A1083">
        <w:lastRenderedPageBreak/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6"/>
    </w:p>
    <w:p w:rsidR="00B94A5D" w:rsidRPr="00B1387F" w:rsidRDefault="00B94A5D" w:rsidP="00A64972">
      <w:pPr>
        <w:pStyle w:val="3"/>
        <w:rPr>
          <w:b/>
        </w:rPr>
      </w:pPr>
      <w:bookmarkStart w:id="47" w:name="documents_IN_block"/>
      <w:r w:rsidRPr="00B1387F">
        <w:rPr>
          <w:b/>
        </w:rPr>
        <w:t>Иностранными юридическими лицами:</w:t>
      </w:r>
      <w:bookmarkEnd w:id="47"/>
    </w:p>
    <w:p w:rsidR="00E6177E" w:rsidRPr="00B94A5D" w:rsidRDefault="00E6177E" w:rsidP="00A64972">
      <w:pPr>
        <w:pStyle w:val="4"/>
      </w:pPr>
      <w:bookmarkStart w:id="48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48"/>
    </w:p>
    <w:p w:rsidR="00B94A5D" w:rsidRDefault="00B94A5D" w:rsidP="00F9280E">
      <w:pPr>
        <w:pStyle w:val="4"/>
      </w:pPr>
      <w:bookmarkStart w:id="49" w:name="documents_GR_IN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9"/>
    </w:p>
    <w:p w:rsidR="00B94A5D" w:rsidRDefault="00B94A5D" w:rsidP="00F9280E">
      <w:pPr>
        <w:pStyle w:val="4"/>
      </w:pPr>
      <w:bookmarkStart w:id="50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0"/>
    </w:p>
    <w:p w:rsidR="00A64972" w:rsidRDefault="00A64972" w:rsidP="00A64972">
      <w:pPr>
        <w:pStyle w:val="2"/>
      </w:pPr>
      <w:bookmarkStart w:id="51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1"/>
    </w:p>
    <w:p w:rsidR="00413AD9" w:rsidRDefault="00413AD9" w:rsidP="00413AD9">
      <w:pPr>
        <w:pStyle w:val="3"/>
      </w:pPr>
      <w:bookmarkStart w:id="5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2"/>
    </w:p>
    <w:p w:rsidR="00A64972" w:rsidRDefault="00A64972" w:rsidP="00A64972">
      <w:pPr>
        <w:pStyle w:val="3"/>
      </w:pPr>
      <w:bookmarkStart w:id="5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53"/>
    </w:p>
    <w:p w:rsidR="00A64972" w:rsidRDefault="00A64972" w:rsidP="00A64972">
      <w:pPr>
        <w:pStyle w:val="3"/>
      </w:pPr>
      <w:bookmarkStart w:id="5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54"/>
    </w:p>
    <w:p w:rsidR="00A64972" w:rsidRDefault="00A64972" w:rsidP="00F345DF">
      <w:pPr>
        <w:pStyle w:val="3"/>
      </w:pPr>
      <w:bookmarkStart w:id="5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55"/>
    </w:p>
    <w:p w:rsidR="00A64972" w:rsidRDefault="00A64972" w:rsidP="00A64972">
      <w:pPr>
        <w:pStyle w:val="3"/>
      </w:pPr>
      <w:bookmarkStart w:id="56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56"/>
    </w:p>
    <w:p w:rsidR="00B53C75" w:rsidRPr="004674F9" w:rsidRDefault="00954827" w:rsidP="00B53C75">
      <w:pPr>
        <w:pStyle w:val="1"/>
      </w:pPr>
      <w:bookmarkStart w:id="57" w:name="retender_header"/>
      <w:r w:rsidRPr="004674F9">
        <w:lastRenderedPageBreak/>
        <w:t>Переторжка</w:t>
      </w:r>
      <w:bookmarkEnd w:id="57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8" w:name="retender_actions"/>
      <w:r>
        <w:rPr>
          <w:b/>
        </w:rPr>
        <w:t>снижения стоимости лота и/или улучшения условий оплаты</w:t>
      </w:r>
      <w:bookmarkEnd w:id="58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9" w:name="request_period"/>
      <w:r>
        <w:t>3-х рабочих дней</w:t>
      </w:r>
      <w:bookmarkEnd w:id="59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Декларация о принадлежности к СМСП.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 на поставку ламп Ц235-245-10, КМ 60-50.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 к лоту 1909 Лампы.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60" w:name="appendix"/>
      <w:r>
        <w:rPr>
          <w:sz w:val="22"/>
          <w:szCs w:val="18"/>
        </w:rPr>
        <w:t>Проект договора к лоту 1909 Лампы</w:t>
      </w:r>
      <w:bookmarkEnd w:id="60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79" w:rsidRDefault="00720079" w:rsidP="00BF60BF">
      <w:r>
        <w:separator/>
      </w:r>
    </w:p>
  </w:endnote>
  <w:endnote w:type="continuationSeparator" w:id="0">
    <w:p w:rsidR="00720079" w:rsidRDefault="00720079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720079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FE6FFE"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720079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FE6FFE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79" w:rsidRDefault="00720079" w:rsidP="00BF60BF">
      <w:r>
        <w:separator/>
      </w:r>
    </w:p>
  </w:footnote>
  <w:footnote w:type="continuationSeparator" w:id="0">
    <w:p w:rsidR="00720079" w:rsidRDefault="00720079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720079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55pt;height:75.1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0B9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0079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0F25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E6FFE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msp.nalog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13CE-EAA9-4142-BEE7-E84BCE15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20803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Пахомов Иван Игоревич</cp:lastModifiedBy>
  <cp:revision>81</cp:revision>
  <cp:lastPrinted>2016-06-17T08:27:00Z</cp:lastPrinted>
  <dcterms:created xsi:type="dcterms:W3CDTF">2016-06-17T06:14:00Z</dcterms:created>
  <dcterms:modified xsi:type="dcterms:W3CDTF">2018-04-02T05:55:00Z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