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0464E0" w:rsidRDefault="000464E0" w:rsidP="00CC7FD1">
      <w:pPr>
        <w:rPr>
          <w:rFonts w:ascii="Times New Roman" w:eastAsia="Times New Roman" w:hAnsi="Times New Roman" w:cs="Times New Roman"/>
          <w:noProof/>
          <w:sz w:val="28"/>
          <w:szCs w:val="20"/>
          <w:lang w:eastAsia="ru-RU"/>
        </w:rPr>
      </w:pPr>
    </w:p>
    <w:p w:rsidR="000464E0" w:rsidRDefault="000464E0" w:rsidP="00CC7FD1">
      <w:pPr>
        <w:rPr>
          <w:rFonts w:ascii="Times New Roman" w:eastAsia="Times New Roman" w:hAnsi="Times New Roman" w:cs="Times New Roman"/>
          <w:noProof/>
          <w:sz w:val="28"/>
          <w:szCs w:val="20"/>
          <w:lang w:eastAsia="ru-RU"/>
        </w:rPr>
      </w:pPr>
    </w:p>
    <w:p w:rsidR="000464E0" w:rsidRDefault="000464E0"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FB5FD8">
        <w:rPr>
          <w:b/>
          <w:color w:val="000000"/>
          <w:szCs w:val="28"/>
        </w:rPr>
        <w:t>и</w:t>
      </w:r>
      <w:r w:rsidR="00FB5FD8" w:rsidRPr="00FB5FD8">
        <w:rPr>
          <w:b/>
          <w:color w:val="000000"/>
          <w:szCs w:val="28"/>
        </w:rPr>
        <w:t>сточник</w:t>
      </w:r>
      <w:r w:rsidR="00FB5FD8">
        <w:rPr>
          <w:b/>
          <w:color w:val="000000"/>
          <w:szCs w:val="28"/>
        </w:rPr>
        <w:t>ов</w:t>
      </w:r>
      <w:r w:rsidR="00FB5FD8" w:rsidRPr="00FB5FD8">
        <w:rPr>
          <w:b/>
          <w:color w:val="000000"/>
          <w:szCs w:val="28"/>
        </w:rPr>
        <w:t xml:space="preserve"> бесперебойного питания</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5692">
        <w:rPr>
          <w:color w:val="000000"/>
          <w:sz w:val="24"/>
          <w:szCs w:val="24"/>
        </w:rPr>
        <w:t>2</w:t>
      </w:r>
      <w:r w:rsidR="00FB5FD8">
        <w:rPr>
          <w:color w:val="000000"/>
          <w:sz w:val="24"/>
          <w:szCs w:val="24"/>
        </w:rPr>
        <w:t>6</w:t>
      </w:r>
      <w:r w:rsidR="00A51151">
        <w:rPr>
          <w:color w:val="000000"/>
          <w:sz w:val="24"/>
          <w:szCs w:val="24"/>
        </w:rPr>
        <w:t xml:space="preserve">» </w:t>
      </w:r>
      <w:r w:rsidR="0086786C">
        <w:rPr>
          <w:color w:val="000000"/>
          <w:sz w:val="24"/>
          <w:szCs w:val="24"/>
        </w:rPr>
        <w:t xml:space="preserve">апреля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86786C">
        <w:rPr>
          <w:color w:val="000000"/>
          <w:sz w:val="24"/>
          <w:szCs w:val="24"/>
        </w:rPr>
        <w:t>4</w:t>
      </w:r>
      <w:r w:rsidR="00575320">
        <w:rPr>
          <w:color w:val="000000"/>
          <w:sz w:val="24"/>
          <w:szCs w:val="24"/>
        </w:rPr>
        <w:t>3</w:t>
      </w:r>
      <w:r w:rsidR="00FB5FD8">
        <w:rPr>
          <w:color w:val="000000"/>
          <w:sz w:val="24"/>
          <w:szCs w:val="24"/>
        </w:rPr>
        <w:t>827</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FB5FD8" w:rsidP="00FB5FD8">
            <w:pPr>
              <w:widowControl w:val="0"/>
              <w:spacing w:after="0" w:line="240" w:lineRule="auto"/>
              <w:jc w:val="both"/>
              <w:rPr>
                <w:rFonts w:ascii="Times New Roman" w:eastAsiaTheme="minorEastAsia" w:hAnsi="Times New Roman" w:cs="Times New Roman"/>
                <w:sz w:val="24"/>
                <w:szCs w:val="24"/>
              </w:rPr>
            </w:pPr>
            <w:r w:rsidRPr="00FB5FD8">
              <w:rPr>
                <w:rFonts w:ascii="Times New Roman" w:hAnsi="Times New Roman" w:cs="Times New Roman"/>
                <w:sz w:val="24"/>
                <w:szCs w:val="24"/>
              </w:rPr>
              <w:t>Поставка источников бесперебойного питания</w:t>
            </w:r>
            <w:r w:rsidRPr="00FB5FD8" w:rsidDel="00FB5FD8">
              <w:rPr>
                <w:rFonts w:ascii="Times New Roman" w:hAnsi="Times New Roman" w:cs="Times New Roman"/>
                <w:sz w:val="24"/>
                <w:szCs w:val="24"/>
              </w:rPr>
              <w:t xml:space="preserve"> </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FB5FD8" w:rsidP="00FB5FD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8 205 035,16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6 837 529,30</w:t>
            </w:r>
            <w:r w:rsidR="00C05947">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BD29F5">
              <w:rPr>
                <w:sz w:val="24"/>
                <w:szCs w:val="24"/>
                <w:lang w:eastAsia="en-US"/>
              </w:rPr>
              <w:t xml:space="preserve">на основании </w:t>
            </w:r>
            <w:r w:rsidR="00575320">
              <w:rPr>
                <w:sz w:val="24"/>
                <w:szCs w:val="24"/>
                <w:lang w:eastAsia="en-US"/>
              </w:rPr>
              <w:t xml:space="preserve">стоимости единственного предложения соответствующего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w:t>
            </w:r>
            <w:r w:rsidRPr="004969F9">
              <w:rPr>
                <w:sz w:val="24"/>
                <w:szCs w:val="24"/>
              </w:rPr>
              <w:lastRenderedPageBreak/>
              <w:t xml:space="preserve">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1E5692" w:rsidRDefault="001E5692" w:rsidP="001E5692">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Pr>
                <w:rFonts w:eastAsia="Calibri"/>
                <w:sz w:val="24"/>
                <w:szCs w:val="24"/>
              </w:rPr>
              <w:t xml:space="preserve"> </w:t>
            </w:r>
            <w:r w:rsidRPr="007425D3">
              <w:rPr>
                <w:rFonts w:eastAsia="Calibri"/>
                <w:sz w:val="24"/>
                <w:szCs w:val="24"/>
              </w:rPr>
              <w:t xml:space="preserve">указан в разделе </w:t>
            </w:r>
            <w:r w:rsidR="00A1253D">
              <w:rPr>
                <w:rFonts w:eastAsia="Calibri"/>
                <w:sz w:val="24"/>
                <w:szCs w:val="24"/>
              </w:rPr>
              <w:t>1</w:t>
            </w:r>
            <w:r w:rsidR="00FB5FD8">
              <w:rPr>
                <w:rFonts w:eastAsia="Calibri"/>
                <w:sz w:val="24"/>
                <w:szCs w:val="24"/>
              </w:rPr>
              <w:t>4</w:t>
            </w:r>
            <w:r w:rsidRPr="007425D3">
              <w:rPr>
                <w:rFonts w:eastAsia="Calibri"/>
                <w:sz w:val="24"/>
                <w:szCs w:val="24"/>
              </w:rPr>
              <w:t xml:space="preserve"> проекта договора.</w:t>
            </w:r>
          </w:p>
          <w:p w:rsidR="006A7489" w:rsidRDefault="001E5692" w:rsidP="001E5692">
            <w:pPr>
              <w:pStyle w:val="a0"/>
              <w:widowControl w:val="0"/>
              <w:numPr>
                <w:ilvl w:val="0"/>
                <w:numId w:val="0"/>
              </w:numPr>
              <w:tabs>
                <w:tab w:val="left" w:pos="708"/>
              </w:tabs>
              <w:spacing w:line="240" w:lineRule="auto"/>
              <w:rPr>
                <w:sz w:val="24"/>
                <w:szCs w:val="24"/>
                <w:lang w:eastAsia="en-US"/>
              </w:rPr>
            </w:pPr>
            <w:r w:rsidRPr="001E5692">
              <w:rPr>
                <w:rFonts w:eastAsia="Calibri"/>
                <w:sz w:val="24"/>
                <w:szCs w:val="24"/>
              </w:rPr>
              <w:t xml:space="preserve">Порядок обеспечения гарантийных </w:t>
            </w:r>
            <w:r>
              <w:rPr>
                <w:rFonts w:eastAsia="Calibri"/>
                <w:sz w:val="24"/>
                <w:szCs w:val="24"/>
              </w:rPr>
              <w:t>обязательств указан в разделе 1</w:t>
            </w:r>
            <w:r w:rsidR="00FB5FD8">
              <w:rPr>
                <w:rFonts w:eastAsia="Calibri"/>
                <w:sz w:val="24"/>
                <w:szCs w:val="24"/>
              </w:rPr>
              <w:t>5</w:t>
            </w:r>
            <w:r w:rsidRPr="001E5692">
              <w:rPr>
                <w:rFonts w:eastAsia="Calibri"/>
                <w:sz w:val="24"/>
                <w:szCs w:val="24"/>
              </w:rPr>
              <w:t xml:space="preserve">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0464E0">
              <w:rPr>
                <w:sz w:val="24"/>
                <w:szCs w:val="24"/>
                <w:lang w:eastAsia="en-US"/>
              </w:rPr>
              <w:t>«</w:t>
            </w:r>
            <w:r w:rsidR="000464E0">
              <w:rPr>
                <w:sz w:val="24"/>
                <w:szCs w:val="24"/>
                <w:lang w:eastAsia="en-US"/>
              </w:rPr>
              <w:t>04</w:t>
            </w:r>
            <w:r w:rsidR="000464E0">
              <w:rPr>
                <w:sz w:val="24"/>
                <w:szCs w:val="24"/>
                <w:lang w:eastAsia="en-US"/>
              </w:rPr>
              <w:t xml:space="preserve">» </w:t>
            </w:r>
            <w:r w:rsidR="000464E0">
              <w:rPr>
                <w:sz w:val="24"/>
                <w:szCs w:val="24"/>
                <w:lang w:eastAsia="en-US"/>
              </w:rPr>
              <w:t xml:space="preserve">мая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0464E0">
              <w:rPr>
                <w:sz w:val="24"/>
                <w:szCs w:val="24"/>
                <w:lang w:eastAsia="en-US"/>
              </w:rPr>
              <w:t>16</w:t>
            </w:r>
            <w:r w:rsidR="00270E1F" w:rsidRPr="00270E1F">
              <w:rPr>
                <w:sz w:val="24"/>
                <w:szCs w:val="24"/>
                <w:lang w:eastAsia="en-US"/>
              </w:rPr>
              <w:t>»</w:t>
            </w:r>
            <w:r w:rsidR="00022700">
              <w:rPr>
                <w:sz w:val="24"/>
                <w:szCs w:val="24"/>
                <w:lang w:eastAsia="en-US"/>
              </w:rPr>
              <w:t xml:space="preserve"> </w:t>
            </w:r>
            <w:r w:rsidR="000464E0">
              <w:rPr>
                <w:sz w:val="24"/>
                <w:szCs w:val="24"/>
                <w:lang w:eastAsia="en-US"/>
              </w:rPr>
              <w:t>мая</w:t>
            </w:r>
            <w:r w:rsidR="000464E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0464E0">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0464E0">
              <w:rPr>
                <w:sz w:val="24"/>
                <w:szCs w:val="24"/>
                <w:lang w:eastAsia="en-US"/>
              </w:rPr>
              <w:t>19</w:t>
            </w:r>
            <w:r w:rsidR="00C9062A" w:rsidRPr="00270E1F">
              <w:rPr>
                <w:sz w:val="24"/>
                <w:szCs w:val="24"/>
                <w:lang w:eastAsia="en-US"/>
              </w:rPr>
              <w:t>»</w:t>
            </w:r>
            <w:r w:rsidR="00F47B8D">
              <w:rPr>
                <w:sz w:val="24"/>
                <w:szCs w:val="24"/>
                <w:lang w:val="en-US" w:eastAsia="en-US"/>
              </w:rPr>
              <w:t xml:space="preserve"> </w:t>
            </w:r>
            <w:r w:rsidR="000464E0">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0464E0">
        <w:trPr>
          <w:trHeight w:val="499"/>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подведения итогов </w:t>
            </w:r>
            <w:r w:rsidRPr="00764E74">
              <w:rPr>
                <w:sz w:val="24"/>
                <w:szCs w:val="24"/>
                <w:lang w:eastAsia="en-US"/>
              </w:rPr>
              <w:lastRenderedPageBreak/>
              <w:t>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0464E0">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0464E0">
              <w:rPr>
                <w:sz w:val="24"/>
                <w:szCs w:val="24"/>
                <w:lang w:eastAsia="en-US"/>
              </w:rPr>
              <w:t>19</w:t>
            </w:r>
            <w:r w:rsidR="00270E1F" w:rsidRPr="00270E1F">
              <w:rPr>
                <w:sz w:val="24"/>
                <w:szCs w:val="24"/>
                <w:lang w:eastAsia="en-US"/>
              </w:rPr>
              <w:t>»</w:t>
            </w:r>
            <w:r w:rsidR="00F47B8D">
              <w:rPr>
                <w:sz w:val="24"/>
                <w:szCs w:val="24"/>
                <w:lang w:val="en-US" w:eastAsia="en-US"/>
              </w:rPr>
              <w:t xml:space="preserve"> </w:t>
            </w:r>
            <w:r w:rsidR="000464E0">
              <w:rPr>
                <w:sz w:val="24"/>
                <w:szCs w:val="24"/>
                <w:lang w:eastAsia="en-US"/>
              </w:rPr>
              <w:t>мая</w:t>
            </w:r>
            <w:bookmarkStart w:id="102" w:name="_GoBack"/>
            <w:bookmarkEnd w:id="102"/>
            <w:r w:rsidR="000464E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464E0"/>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A8F3-3CEE-4F74-9D09-3A2F80D7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54</cp:revision>
  <cp:lastPrinted>2022-03-18T13:37:00Z</cp:lastPrinted>
  <dcterms:created xsi:type="dcterms:W3CDTF">2021-08-24T14:37:00Z</dcterms:created>
  <dcterms:modified xsi:type="dcterms:W3CDTF">2022-05-04T08:19:00Z</dcterms:modified>
</cp:coreProperties>
</file>