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B24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5043319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24.11.2017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1239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o.loginova@uszo.ru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Логинова Ольга Владимировна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"СП"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630112, г. Новосибирск, ул. Фрунзе, 226/1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223-86-36, kans@sibeco.su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Услуги по организации служебных командировок и деловых мероприятий в 2018 году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2 650 000,00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Pr="00845BB7" w:rsidR="00562AA8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6E7673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BF166B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Наименование услуг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</w:tcPr>
          <w:p w:rsidRPr="00BF166B" w:rsidR="00562AA8" w:rsidP="00562AA8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D36EA0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Срок оказания услуг</w:t>
            </w:r>
          </w:p>
        </w:tc>
      </w:tr>
      <w:tr w:rsidRPr="00845BB7" w:rsidR="00562AA8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Услуги по организации служебных командировок и деловых мероприятий в 2018 году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562AA8" w:rsidP="004703A1" w:rsidRDefault="00562AA8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2 650 000,00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- декабрь 2018</w:t>
            </w:r>
          </w:p>
        </w:tc>
      </w:tr>
    </w:tbl>
    <w:p w:rsidR="00953414" w:rsidP="000D1146" w:rsidRDefault="00953414">
      <w:pPr>
        <w:pStyle w:val="afa"/>
      </w:pPr>
      <w:bookmarkStart w:name="order_delivery_header" w:id="14"/>
      <w:r>
        <w:t>Место оказания услуг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г. Новосибирск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оказания услуг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Согласно Техническому заданию 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>
      <w:pPr>
        <w:pStyle w:val="afe"/>
      </w:pPr>
      <w:bookmarkStart w:name="order_payment" w:id="19"/>
      <w:r>
        <w:t>Безналичный расчет. Заказчик осуществляет оплату выставленных счетов по факту оказания услуг через 5 (пять) календарных дней с даты выставления счета.</w:t>
      </w:r>
    </w:p>
    <w:p>
      <w:pPr>
        <w:pStyle w:val="afe"/>
      </w:pPr>
      <w:r>
        <w:t>Предложения Участников, содержащие условия предоплаты или иное ухудшение условий оплаты, не принимаются и не рассматриваются.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В стоимость предложения включены все расходы, связанные с  оказанием услуг для Акционерного общества "СИБЭКО-Проект", транспортные расходы, налоги (без учета НДС) и другие обязательные платежи, установленные законодательством РФ, а также все иные расходы в соответствии с условиями договора.</w:t>
      </w:r>
      <w:bookmarkEnd w:id="21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Согласно Требованиям к Участнику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01.12.17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11.12.2017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1360DC" w:rsidR="006806DF" w:rsidP="006246EE" w:rsidRDefault="00592AF6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oferta_box" w:id="33"/>
      <w:r w:rsidRPr="001360DC">
        <w:rPr>
          <w:bCs/>
          <w:sz w:val="22"/>
          <w:szCs w:val="22"/>
        </w:rPr>
        <w:t xml:space="preserve">Данная процедура </w:t>
      </w:r>
      <w:r w:rsidRPr="001360DC" w:rsidR="006806DF">
        <w:rPr>
          <w:bCs/>
          <w:sz w:val="22"/>
          <w:szCs w:val="22"/>
        </w:rPr>
        <w:t xml:space="preserve">не является офертой или публичной </w:t>
      </w:r>
      <w:r w:rsidRPr="001360DC" w:rsidR="004D48E0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Pr="001360DC" w:rsidR="006806DF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95A59" w:rsidP="00A64972" w:rsidRDefault="00895A59">
      <w:pPr>
        <w:pStyle w:val="3"/>
      </w:pPr>
      <w:bookmarkStart w:name="condition_EIO_sud" w:id="42"/>
      <w:r>
        <w:t>При наличии</w:t>
      </w:r>
      <w:r w:rsidRPr="00895A59">
        <w:t xml:space="preserve"> сведений о </w:t>
      </w:r>
      <w:r w:rsidRPr="00895A59" w:rsidR="001A1D3B">
        <w:t>ЕИО</w:t>
      </w:r>
      <w:r w:rsidRPr="00895A59">
        <w:t xml:space="preserve"> участника в </w:t>
      </w:r>
      <w:hyperlink w:history="1" r:id="rId10">
        <w:r w:rsidRPr="00971BD8">
          <w:rPr>
            <w:rStyle w:val="a9"/>
            <w:b/>
            <w:color w:val="auto"/>
          </w:rPr>
          <w:t>реестре лиц</w:t>
        </w:r>
      </w:hyperlink>
      <w:r w:rsidRPr="00895A59">
        <w:t>, в отношении которых факт невозможности осуществления руководства в организации установлен (подтвержден) в судебном</w:t>
      </w:r>
      <w:r>
        <w:t xml:space="preserve"> порядке;</w:t>
      </w:r>
      <w:bookmarkEnd w:id="42"/>
    </w:p>
    <w:p w:rsidR="00895A59" w:rsidP="00A64972" w:rsidRDefault="00895A59">
      <w:pPr>
        <w:pStyle w:val="3"/>
      </w:pPr>
      <w:bookmarkStart w:name="condition_EIO_diskvalification" w:id="43"/>
      <w:r>
        <w:lastRenderedPageBreak/>
        <w:t xml:space="preserve">При наличии </w:t>
      </w:r>
      <w:r w:rsidRPr="00895A59">
        <w:t xml:space="preserve">сведений о </w:t>
      </w:r>
      <w:r w:rsidR="001A1D3B">
        <w:t>ЕИО</w:t>
      </w:r>
      <w:r w:rsidRPr="00895A59">
        <w:t xml:space="preserve"> участника в </w:t>
      </w:r>
      <w:hyperlink w:history="1" r:id="rId11">
        <w:r w:rsidRPr="00971BD8">
          <w:rPr>
            <w:rStyle w:val="a9"/>
            <w:b/>
            <w:color w:val="auto"/>
          </w:rPr>
          <w:t>р</w:t>
        </w:r>
        <w:r w:rsidRPr="00971BD8" w:rsidR="00294681">
          <w:rPr>
            <w:rStyle w:val="a9"/>
            <w:b/>
            <w:color w:val="auto"/>
          </w:rPr>
          <w:t>еестре дисквалифицированных лиц</w:t>
        </w:r>
      </w:hyperlink>
      <w:r w:rsidR="00294681">
        <w:t>;</w:t>
      </w:r>
      <w:bookmarkEnd w:id="43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294681" w:rsidP="00F9280E" w:rsidRDefault="00294681">
      <w:pPr>
        <w:pStyle w:val="3"/>
      </w:pPr>
      <w:bookmarkStart w:name="documents_EIO_doverennost" w:id="47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Pr="00F9280E" w:rsidR="00F9280E">
        <w:t>на иностранном языке, такая доверенность должна быть переведена на русский язык</w:t>
      </w:r>
      <w:r w:rsidR="00F9280E">
        <w:t>,</w:t>
      </w:r>
      <w:r w:rsidRPr="00F9280E" w:rsid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7"/>
    </w:p>
    <w:p w:rsidRPr="00B1387F" w:rsidR="00BB42AC" w:rsidP="00A64972" w:rsidRDefault="00BB42AC">
      <w:pPr>
        <w:pStyle w:val="3"/>
        <w:rPr>
          <w:b/>
        </w:rPr>
      </w:pPr>
      <w:bookmarkStart w:name="documents_UL_block" w:id="50"/>
      <w:r w:rsidRPr="00B1387F">
        <w:rPr>
          <w:b/>
        </w:rPr>
        <w:t>Российскими юридическими лицами:</w:t>
      </w:r>
      <w:bookmarkEnd w:id="50"/>
    </w:p>
    <w:p w:rsidR="00BB42AC" w:rsidP="00A64972" w:rsidRDefault="00BB42AC">
      <w:pPr>
        <w:pStyle w:val="4"/>
      </w:pPr>
      <w:bookmarkStart w:name="documents_ustav" w:id="51"/>
      <w:r w:rsidRPr="005A1083">
        <w:t>Устав;</w:t>
      </w:r>
      <w:bookmarkEnd w:id="51"/>
    </w:p>
    <w:p w:rsidRPr="00A64972" w:rsidR="00BB42AC" w:rsidP="00A64972" w:rsidRDefault="00BB42AC">
      <w:pPr>
        <w:pStyle w:val="4"/>
      </w:pPr>
      <w:bookmarkStart w:name="documents_EIO_pravo" w:id="52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52"/>
    </w:p>
    <w:p w:rsidR="00BB42AC" w:rsidP="00A64972" w:rsidRDefault="00BB42AC">
      <w:pPr>
        <w:pStyle w:val="4"/>
      </w:pPr>
      <w:bookmarkStart w:name="documents_sdelka" w:id="53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53"/>
    </w:p>
    <w:p w:rsidRPr="00B1387F" w:rsidR="00B94A5D" w:rsidP="00A64972" w:rsidRDefault="00B94A5D">
      <w:pPr>
        <w:pStyle w:val="3"/>
        <w:rPr>
          <w:b/>
        </w:rPr>
      </w:pPr>
      <w:bookmarkStart w:name="documents_IN_block" w:id="54"/>
      <w:r w:rsidRPr="00B1387F">
        <w:rPr>
          <w:b/>
        </w:rPr>
        <w:t>Иностранными юридическими лицами:</w:t>
      </w:r>
      <w:bookmarkEnd w:id="54"/>
    </w:p>
    <w:p w:rsidRPr="00B94A5D" w:rsidR="00E6177E" w:rsidP="00A64972" w:rsidRDefault="00E6177E">
      <w:pPr>
        <w:pStyle w:val="4"/>
      </w:pPr>
      <w:bookmarkStart w:name="documents_NU_IN" w:id="55"/>
      <w:r>
        <w:t>Свидетельство о постановке на налоговый учет на территории РФ, если юридическое лицо состоит на таком учете;</w:t>
      </w:r>
      <w:bookmarkEnd w:id="55"/>
    </w:p>
    <w:p w:rsidR="00B94A5D" w:rsidP="00F9280E" w:rsidRDefault="00B94A5D">
      <w:pPr>
        <w:pStyle w:val="4"/>
      </w:pPr>
      <w:bookmarkStart w:name="documents_GR_IN" w:id="56"/>
      <w:r>
        <w:lastRenderedPageBreak/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6"/>
    </w:p>
    <w:p w:rsidR="00B94A5D" w:rsidP="00F9280E" w:rsidRDefault="00B94A5D">
      <w:pPr>
        <w:pStyle w:val="4"/>
      </w:pPr>
      <w:bookmarkStart w:name="documents_EIO_pravo_IN" w:id="57"/>
      <w:r>
        <w:t xml:space="preserve">Документ, подтверждающий полномочия руководителя юридического лица,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7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A64972" w:rsidRDefault="00A64972">
      <w:pPr>
        <w:pStyle w:val="3"/>
      </w:pPr>
      <w:bookmarkStart w:name="priorityRF_paragraph4" w:id="62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62"/>
    </w:p>
    <w:bookmarkEnd w:id="67"/>
    <w:p w:rsidRPr="004674F9" w:rsidR="00954827" w:rsidP="000D1146" w:rsidRDefault="00064D0C">
      <w:pPr>
        <w:pStyle w:val="1"/>
      </w:pPr>
      <w:r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Порядок предоставления разъяснений по запросу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Приложение№ 1 Справка-подтверждение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Расшифровка стоимости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Справка об опыте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Техническое задание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Требования к Участнику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2862F6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2862F6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  <w:bookmarkStart w:id="31" w:name="_GoBack"/>
      <w:bookmarkEnd w:id="31"/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B24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542A-4F08-432F-AEAD-B618957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69</cp:revision>
  <cp:lastPrinted>2016-06-17T08:27:00Z</cp:lastPrinted>
  <dcterms:created xsi:type="dcterms:W3CDTF">2016-06-17T06:14:00Z</dcterms:created>
  <dcterms:modified xsi:type="dcterms:W3CDTF">2017-08-08T09:33:00Z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