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bookmarkStart w:id="14" w:name="_GoBack"/>
      <w:bookmarkEnd w:id="14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611E0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5" w:name="_Ref391411050"/>
      <w:bookmarkStart w:id="16" w:name="_Toc392487638"/>
      <w:bookmarkStart w:id="17" w:name="_Toc392489342"/>
      <w:bookmarkStart w:id="18" w:name="_Toc438724510"/>
      <w:bookmarkStart w:id="19" w:name="_Toc536112829"/>
      <w:r w:rsidRPr="00203244">
        <w:lastRenderedPageBreak/>
        <w:t>Информационная карта</w:t>
      </w:r>
      <w:bookmarkEnd w:id="15"/>
      <w:bookmarkEnd w:id="16"/>
      <w:bookmarkEnd w:id="17"/>
      <w:r w:rsidR="006E4141" w:rsidRPr="004859FF">
        <w:t xml:space="preserve"> </w:t>
      </w:r>
      <w:bookmarkEnd w:id="18"/>
      <w:bookmarkEnd w:id="19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20" w:name="_Toc386739221"/>
      <w:bookmarkStart w:id="21" w:name="_Toc386739229"/>
      <w:bookmarkStart w:id="22" w:name="_Toc386739497"/>
      <w:bookmarkStart w:id="23" w:name="_Toc386739668"/>
      <w:bookmarkStart w:id="24" w:name="_Toc386740219"/>
      <w:bookmarkStart w:id="25" w:name="_Toc386789079"/>
      <w:bookmarkStart w:id="26" w:name="_Toc386800747"/>
      <w:bookmarkStart w:id="27" w:name="_Toc387024584"/>
      <w:bookmarkStart w:id="28" w:name="_Toc387131211"/>
      <w:bookmarkStart w:id="29" w:name="_Toc387132705"/>
      <w:bookmarkStart w:id="30" w:name="_Toc387161728"/>
      <w:bookmarkStart w:id="31" w:name="_Toc387162275"/>
      <w:bookmarkStart w:id="32" w:name="_Toc387162445"/>
      <w:bookmarkStart w:id="33" w:name="_Toc387664762"/>
      <w:bookmarkStart w:id="34" w:name="_Toc387668525"/>
      <w:bookmarkStart w:id="35" w:name="_Toc387671400"/>
      <w:bookmarkStart w:id="36" w:name="_Toc387674393"/>
      <w:bookmarkStart w:id="37" w:name="_Toc387676178"/>
      <w:bookmarkStart w:id="38" w:name="_Toc387679677"/>
      <w:bookmarkStart w:id="39" w:name="_Toc387680883"/>
      <w:bookmarkStart w:id="40" w:name="_Toc387681392"/>
      <w:bookmarkStart w:id="41" w:name="_Toc386739263"/>
      <w:bookmarkStart w:id="42" w:name="_Toc386739531"/>
      <w:bookmarkStart w:id="43" w:name="_Toc386739702"/>
      <w:bookmarkStart w:id="44" w:name="_Toc386740253"/>
      <w:bookmarkStart w:id="45" w:name="_Toc386789113"/>
      <w:bookmarkStart w:id="46" w:name="_Toc386800781"/>
      <w:bookmarkStart w:id="47" w:name="_Toc387024618"/>
      <w:bookmarkStart w:id="48" w:name="_Toc387131245"/>
      <w:bookmarkStart w:id="49" w:name="_Toc387132739"/>
      <w:bookmarkStart w:id="50" w:name="_Toc387161762"/>
      <w:bookmarkStart w:id="51" w:name="_Toc387162309"/>
      <w:bookmarkStart w:id="52" w:name="_Toc387162479"/>
      <w:bookmarkStart w:id="53" w:name="_Toc387664796"/>
      <w:bookmarkStart w:id="54" w:name="_Toc387668559"/>
      <w:bookmarkStart w:id="55" w:name="_Toc387671434"/>
      <w:bookmarkStart w:id="56" w:name="_Toc387674427"/>
      <w:bookmarkStart w:id="57" w:name="_Toc387676212"/>
      <w:bookmarkStart w:id="58" w:name="_Toc387679711"/>
      <w:bookmarkStart w:id="59" w:name="_Toc387680917"/>
      <w:bookmarkStart w:id="60" w:name="_Toc387681426"/>
      <w:bookmarkStart w:id="61" w:name="_Toc386739264"/>
      <w:bookmarkStart w:id="62" w:name="_Toc386739532"/>
      <w:bookmarkStart w:id="63" w:name="_Toc386739703"/>
      <w:bookmarkStart w:id="64" w:name="_Toc386740254"/>
      <w:bookmarkStart w:id="65" w:name="_Toc386789114"/>
      <w:bookmarkStart w:id="66" w:name="_Toc386800782"/>
      <w:bookmarkStart w:id="67" w:name="_Toc387024619"/>
      <w:bookmarkStart w:id="68" w:name="_Toc387131246"/>
      <w:bookmarkStart w:id="69" w:name="_Toc387132740"/>
      <w:bookmarkStart w:id="70" w:name="_Toc387161763"/>
      <w:bookmarkStart w:id="71" w:name="_Toc387162310"/>
      <w:bookmarkStart w:id="72" w:name="_Toc387162480"/>
      <w:bookmarkStart w:id="73" w:name="_Toc387664797"/>
      <w:bookmarkStart w:id="74" w:name="_Toc387668560"/>
      <w:bookmarkStart w:id="75" w:name="_Toc387671435"/>
      <w:bookmarkStart w:id="76" w:name="_Toc387674428"/>
      <w:bookmarkStart w:id="77" w:name="_Toc387676213"/>
      <w:bookmarkStart w:id="78" w:name="_Toc387679712"/>
      <w:bookmarkStart w:id="79" w:name="_Toc387680918"/>
      <w:bookmarkStart w:id="80" w:name="_Toc387681427"/>
      <w:bookmarkStart w:id="81" w:name="_Toc352677171"/>
      <w:bookmarkStart w:id="82" w:name="_Toc352678616"/>
      <w:bookmarkStart w:id="83" w:name="_Toc352682841"/>
      <w:bookmarkStart w:id="84" w:name="_Toc352677176"/>
      <w:bookmarkStart w:id="85" w:name="_Toc352678621"/>
      <w:bookmarkStart w:id="86" w:name="_Toc352682846"/>
      <w:bookmarkStart w:id="87" w:name="_Toc352677182"/>
      <w:bookmarkStart w:id="88" w:name="_Toc352678627"/>
      <w:bookmarkStart w:id="89" w:name="_Toc352682852"/>
      <w:bookmarkStart w:id="90" w:name="_Toc352677187"/>
      <w:bookmarkStart w:id="91" w:name="_Toc352678632"/>
      <w:bookmarkStart w:id="92" w:name="_Toc352682857"/>
      <w:bookmarkStart w:id="93" w:name="_Toc352677192"/>
      <w:bookmarkStart w:id="94" w:name="_Toc352678637"/>
      <w:bookmarkStart w:id="95" w:name="_Toc352682862"/>
      <w:bookmarkStart w:id="96" w:name="_Toc352677197"/>
      <w:bookmarkStart w:id="97" w:name="_Toc352678642"/>
      <w:bookmarkStart w:id="98" w:name="_Toc352682867"/>
      <w:bookmarkStart w:id="99" w:name="_Toc352677203"/>
      <w:bookmarkStart w:id="100" w:name="_Toc352678648"/>
      <w:bookmarkStart w:id="101" w:name="_Toc352682873"/>
      <w:bookmarkStart w:id="102" w:name="_Toc352677207"/>
      <w:bookmarkStart w:id="103" w:name="_Toc352678652"/>
      <w:bookmarkStart w:id="104" w:name="_Toc352682877"/>
      <w:bookmarkStart w:id="105" w:name="_Toc352677211"/>
      <w:bookmarkStart w:id="106" w:name="_Toc352678656"/>
      <w:bookmarkStart w:id="107" w:name="_Toc352682881"/>
      <w:bookmarkStart w:id="108" w:name="_Toc352677222"/>
      <w:bookmarkStart w:id="109" w:name="_Toc352678667"/>
      <w:bookmarkStart w:id="110" w:name="_Toc352682892"/>
      <w:bookmarkStart w:id="111" w:name="_Toc352677229"/>
      <w:bookmarkStart w:id="112" w:name="_Toc352678674"/>
      <w:bookmarkStart w:id="113" w:name="_Toc352682899"/>
      <w:bookmarkStart w:id="114" w:name="_Toc352677233"/>
      <w:bookmarkStart w:id="115" w:name="_Toc352678678"/>
      <w:bookmarkStart w:id="116" w:name="_Toc352682903"/>
      <w:bookmarkStart w:id="117" w:name="_Toc352677245"/>
      <w:bookmarkStart w:id="118" w:name="_Toc352678690"/>
      <w:bookmarkStart w:id="119" w:name="_Toc352682915"/>
      <w:bookmarkStart w:id="120" w:name="_Toc352677254"/>
      <w:bookmarkStart w:id="121" w:name="_Toc352678699"/>
      <w:bookmarkStart w:id="122" w:name="_Toc352682924"/>
      <w:bookmarkStart w:id="123" w:name="_Toc352677258"/>
      <w:bookmarkStart w:id="124" w:name="_Toc352678703"/>
      <w:bookmarkStart w:id="125" w:name="_Toc352682928"/>
      <w:bookmarkStart w:id="126" w:name="_Toc352677265"/>
      <w:bookmarkStart w:id="127" w:name="_Toc352678710"/>
      <w:bookmarkStart w:id="128" w:name="_Toc352682935"/>
      <w:bookmarkStart w:id="129" w:name="_Toc352677269"/>
      <w:bookmarkStart w:id="130" w:name="_Toc352678714"/>
      <w:bookmarkStart w:id="131" w:name="_Toc352682939"/>
      <w:bookmarkStart w:id="132" w:name="_Toc352677276"/>
      <w:bookmarkStart w:id="133" w:name="_Toc352678721"/>
      <w:bookmarkStart w:id="134" w:name="_Toc352682946"/>
      <w:bookmarkStart w:id="135" w:name="_Toc352677280"/>
      <w:bookmarkStart w:id="136" w:name="_Toc352678725"/>
      <w:bookmarkStart w:id="137" w:name="_Toc352682950"/>
      <w:bookmarkStart w:id="138" w:name="_Toc352677290"/>
      <w:bookmarkStart w:id="139" w:name="_Toc352678735"/>
      <w:bookmarkStart w:id="140" w:name="_Toc352682960"/>
      <w:bookmarkStart w:id="141" w:name="_Toc352677297"/>
      <w:bookmarkStart w:id="142" w:name="_Toc352678742"/>
      <w:bookmarkStart w:id="143" w:name="_Toc352682967"/>
      <w:bookmarkStart w:id="144" w:name="_Toc352677301"/>
      <w:bookmarkStart w:id="145" w:name="_Toc352678746"/>
      <w:bookmarkStart w:id="146" w:name="_Toc352682971"/>
      <w:bookmarkStart w:id="147" w:name="_Toc352677305"/>
      <w:bookmarkStart w:id="148" w:name="_Toc352678750"/>
      <w:bookmarkStart w:id="149" w:name="_Toc352682975"/>
      <w:bookmarkStart w:id="150" w:name="_Toc352677317"/>
      <w:bookmarkStart w:id="151" w:name="_Toc352678762"/>
      <w:bookmarkStart w:id="152" w:name="_Toc352682987"/>
      <w:bookmarkStart w:id="153" w:name="_Toc352677321"/>
      <w:bookmarkStart w:id="154" w:name="_Toc352678766"/>
      <w:bookmarkStart w:id="155" w:name="_Toc352682991"/>
      <w:bookmarkStart w:id="156" w:name="_Toc352677325"/>
      <w:bookmarkStart w:id="157" w:name="_Toc352678770"/>
      <w:bookmarkStart w:id="158" w:name="_Toc352682995"/>
      <w:bookmarkStart w:id="159" w:name="_Toc352677330"/>
      <w:bookmarkStart w:id="160" w:name="_Toc352678775"/>
      <w:bookmarkStart w:id="161" w:name="_Toc352683000"/>
      <w:bookmarkStart w:id="162" w:name="_Toc352677334"/>
      <w:bookmarkStart w:id="163" w:name="_Toc352678779"/>
      <w:bookmarkStart w:id="164" w:name="_Toc352683004"/>
      <w:bookmarkStart w:id="165" w:name="_Toc352677346"/>
      <w:bookmarkStart w:id="166" w:name="_Toc352678791"/>
      <w:bookmarkStart w:id="167" w:name="_Toc352683016"/>
      <w:bookmarkStart w:id="168" w:name="_Toc352677356"/>
      <w:bookmarkStart w:id="169" w:name="_Toc352678801"/>
      <w:bookmarkStart w:id="170" w:name="_Toc352683026"/>
      <w:bookmarkStart w:id="171" w:name="_Toc352677361"/>
      <w:bookmarkStart w:id="172" w:name="_Toc352678806"/>
      <w:bookmarkStart w:id="173" w:name="_Toc352683031"/>
      <w:bookmarkStart w:id="174" w:name="_Toc352677367"/>
      <w:bookmarkStart w:id="175" w:name="_Toc352678812"/>
      <w:bookmarkStart w:id="176" w:name="_Toc352683037"/>
      <w:bookmarkStart w:id="177" w:name="_Toc352677371"/>
      <w:bookmarkStart w:id="178" w:name="_Toc352678816"/>
      <w:bookmarkStart w:id="179" w:name="_Toc352683041"/>
      <w:bookmarkStart w:id="180" w:name="_Toc352677375"/>
      <w:bookmarkStart w:id="181" w:name="_Toc352678820"/>
      <w:bookmarkStart w:id="182" w:name="_Toc352683045"/>
      <w:bookmarkStart w:id="183" w:name="_Toc352677379"/>
      <w:bookmarkStart w:id="184" w:name="_Toc352678824"/>
      <w:bookmarkStart w:id="185" w:name="_Toc352683049"/>
      <w:bookmarkStart w:id="186" w:name="_Toc352677383"/>
      <w:bookmarkStart w:id="187" w:name="_Toc352678828"/>
      <w:bookmarkStart w:id="188" w:name="_Toc352683053"/>
      <w:bookmarkStart w:id="189" w:name="_Toc352677387"/>
      <w:bookmarkStart w:id="190" w:name="_Toc352678832"/>
      <w:bookmarkStart w:id="191" w:name="_Toc352683057"/>
      <w:bookmarkStart w:id="192" w:name="_Toc352677403"/>
      <w:bookmarkStart w:id="193" w:name="_Toc352678848"/>
      <w:bookmarkStart w:id="194" w:name="_Toc352683073"/>
      <w:bookmarkStart w:id="195" w:name="_Toc352677407"/>
      <w:bookmarkStart w:id="196" w:name="_Toc352678852"/>
      <w:bookmarkStart w:id="197" w:name="_Toc352683077"/>
      <w:bookmarkStart w:id="198" w:name="_Toc352677412"/>
      <w:bookmarkStart w:id="199" w:name="_Toc352678857"/>
      <w:bookmarkStart w:id="200" w:name="_Toc352683082"/>
      <w:bookmarkStart w:id="201" w:name="_Toc352677423"/>
      <w:bookmarkStart w:id="202" w:name="_Toc352678868"/>
      <w:bookmarkStart w:id="203" w:name="_Toc352683093"/>
      <w:bookmarkStart w:id="204" w:name="_Toc352677430"/>
      <w:bookmarkStart w:id="205" w:name="_Toc352678875"/>
      <w:bookmarkStart w:id="206" w:name="_Toc352683100"/>
      <w:bookmarkStart w:id="207" w:name="_Toc352677435"/>
      <w:bookmarkStart w:id="208" w:name="_Toc352678880"/>
      <w:bookmarkStart w:id="209" w:name="_Toc352683105"/>
      <w:bookmarkStart w:id="210" w:name="_Toc352677439"/>
      <w:bookmarkStart w:id="211" w:name="_Toc352678884"/>
      <w:bookmarkStart w:id="212" w:name="_Toc352683109"/>
      <w:bookmarkStart w:id="213" w:name="_Toc352677443"/>
      <w:bookmarkStart w:id="214" w:name="_Toc352678888"/>
      <w:bookmarkStart w:id="215" w:name="_Toc352683113"/>
      <w:bookmarkStart w:id="216" w:name="_Toc352677448"/>
      <w:bookmarkStart w:id="217" w:name="_Toc352678893"/>
      <w:bookmarkStart w:id="218" w:name="_Toc352683118"/>
      <w:bookmarkStart w:id="219" w:name="_Toc352677452"/>
      <w:bookmarkStart w:id="220" w:name="_Toc352678897"/>
      <w:bookmarkStart w:id="221" w:name="_Toc352683122"/>
      <w:bookmarkStart w:id="222" w:name="_Toc352677460"/>
      <w:bookmarkStart w:id="223" w:name="_Toc352678905"/>
      <w:bookmarkStart w:id="224" w:name="_Toc352683130"/>
      <w:bookmarkStart w:id="225" w:name="_Toc352677465"/>
      <w:bookmarkStart w:id="226" w:name="_Toc352678910"/>
      <w:bookmarkStart w:id="227" w:name="_Toc352683135"/>
      <w:bookmarkStart w:id="228" w:name="_Toc352677470"/>
      <w:bookmarkStart w:id="229" w:name="_Toc352678915"/>
      <w:bookmarkStart w:id="230" w:name="_Toc352683140"/>
      <w:bookmarkStart w:id="231" w:name="_Toc352677475"/>
      <w:bookmarkStart w:id="232" w:name="_Toc352678920"/>
      <w:bookmarkStart w:id="233" w:name="_Toc352683145"/>
      <w:bookmarkStart w:id="234" w:name="_Toc334700459"/>
      <w:bookmarkStart w:id="235" w:name="_Toc334700551"/>
      <w:bookmarkStart w:id="236" w:name="_Toc339385587"/>
      <w:bookmarkStart w:id="237" w:name="_Toc339538212"/>
      <w:bookmarkStart w:id="238" w:name="_Toc339544789"/>
      <w:bookmarkStart w:id="239" w:name="_Toc34241259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40" w:name="_Toc386738960"/>
            <w:bookmarkStart w:id="241" w:name="_Toc386738984"/>
            <w:bookmarkStart w:id="242" w:name="_Toc386738988"/>
            <w:bookmarkStart w:id="243" w:name="_Toc386738992"/>
            <w:bookmarkStart w:id="244" w:name="_Toc386738996"/>
            <w:bookmarkStart w:id="245" w:name="_Toc386739000"/>
            <w:bookmarkStart w:id="246" w:name="_Toc386739004"/>
            <w:bookmarkStart w:id="247" w:name="_Toc386739008"/>
            <w:bookmarkStart w:id="248" w:name="_Toc386739012"/>
            <w:bookmarkStart w:id="249" w:name="_Toc386739016"/>
            <w:bookmarkStart w:id="250" w:name="_Toc386739020"/>
            <w:bookmarkStart w:id="251" w:name="_Toc386739024"/>
            <w:bookmarkStart w:id="252" w:name="_Toc386739028"/>
            <w:bookmarkStart w:id="253" w:name="_Toc386739032"/>
            <w:bookmarkStart w:id="254" w:name="_Toc386739036"/>
            <w:bookmarkStart w:id="255" w:name="_Toc386739040"/>
            <w:bookmarkStart w:id="256" w:name="_Toc386739044"/>
            <w:bookmarkStart w:id="257" w:name="_Toc386739048"/>
            <w:bookmarkStart w:id="258" w:name="_Toc386739052"/>
            <w:bookmarkStart w:id="259" w:name="_Toc386739056"/>
            <w:bookmarkStart w:id="260" w:name="_Toc386739060"/>
            <w:bookmarkStart w:id="261" w:name="_Toc386739064"/>
            <w:bookmarkStart w:id="262" w:name="_Toc386739094"/>
            <w:bookmarkStart w:id="263" w:name="_Ref392220935"/>
            <w:bookmarkStart w:id="264" w:name="_Toc392344515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2"/>
            <w:bookmarkEnd w:id="263"/>
            <w:bookmarkEnd w:id="264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1pt;height:18.7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3.1pt;height:18.7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3.1pt;height:18.7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3.1pt;height:18.7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3.1pt;height:18.7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3.1pt;height:18.7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3.1pt;height:18.7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3.1pt;height:18.7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3.1pt;height:18.7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3.1pt;height:18.7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3.1pt;height:18.7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3.1pt;height:18.7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3.1pt;height:18.7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3.1pt;height:18.7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3.1pt;height:18.7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3.1pt;height:18.7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3.1pt;height:18.7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3.1pt;height:18.7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3.1pt;height:18.7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5" w:name="_Toc386739096"/>
            <w:bookmarkStart w:id="266" w:name="_Toc386739097"/>
            <w:bookmarkStart w:id="267" w:name="_Toc386739098"/>
            <w:bookmarkStart w:id="268" w:name="_Toc386739099"/>
            <w:bookmarkStart w:id="269" w:name="_Toc386739102"/>
            <w:bookmarkStart w:id="270" w:name="_Toc386739107"/>
            <w:bookmarkStart w:id="271" w:name="_Toc386739109"/>
            <w:bookmarkStart w:id="272" w:name="_Toc386739110"/>
            <w:bookmarkStart w:id="273" w:name="_Toc386739144"/>
            <w:bookmarkStart w:id="274" w:name="_Toc386739155"/>
            <w:bookmarkStart w:id="275" w:name="_Toc386739162"/>
            <w:bookmarkStart w:id="276" w:name="_Toc386739169"/>
            <w:bookmarkStart w:id="277" w:name="_Toc386739177"/>
            <w:bookmarkStart w:id="278" w:name="_Toc386739185"/>
            <w:bookmarkStart w:id="279" w:name="_Toc386739193"/>
            <w:bookmarkStart w:id="280" w:name="_Toc386739202"/>
            <w:bookmarkStart w:id="281" w:name="_Ref388095896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bookmarkEnd w:id="281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3.1pt;height:18.7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3.1pt;height:18.7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1pt;height:18.7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1pt;height:18.7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1pt;height:18.7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1pt;height:18.7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56234F">
                    <w:tc>
                      <w:tcPr>
                        <w:tcW w:w="411" w:type="dxa"/>
                      </w:tcPr>
                      <w:p w:rsidR="000A0BE7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A0BE7" w:rsidRPr="002B152E" w:rsidRDefault="0056234F" w:rsidP="0056234F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ГОСТ 32511-2013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A0BE7" w:rsidRPr="002B152E" w:rsidRDefault="0056234F" w:rsidP="00972CB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заявки на ЭТП "Фабрикант" предо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ставлять з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аверенные печатью и подписью По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ставщика копию паспо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рта качества, либо га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рантийное пи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сьмо о предоставлении данных до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0A0BE7" w:rsidRPr="002B152E" w:rsidRDefault="0056234F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2B152E" w:rsidRPr="00F91912" w:rsidTr="000A4857">
                    <w:tc>
                      <w:tcPr>
                        <w:tcW w:w="411" w:type="dxa"/>
                      </w:tcPr>
                      <w:p w:rsidR="002B152E" w:rsidRPr="002B152E" w:rsidRDefault="003D66E0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B152E" w:rsidRPr="002B152E" w:rsidRDefault="0056234F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Гарантийный срок хранения-12 месяцев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B152E" w:rsidRPr="002B152E" w:rsidRDefault="0056234F" w:rsidP="00972CB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При подаче заявки на ЭТП "Фабрикант" предоставлять заверенные печатью и подписью Поставщика копию паспорта каче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 xml:space="preserve">ства, либо гарантийное письмо 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о предоставлении данных докумен</w:t>
                        </w:r>
                        <w:r w:rsidRPr="0056234F">
                          <w:rPr>
                            <w:sz w:val="20"/>
                            <w:szCs w:val="20"/>
                            <w:lang w:bidi="he-IL"/>
                          </w:rPr>
                          <w:t>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2B152E" w:rsidRPr="002B152E" w:rsidRDefault="0056234F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3.1pt;height:18.7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3.1pt;height:18.7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1pt;height:18.7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1pt;height:18.7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1pt;height:18.7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 xml:space="preserve">Допускается подача предложений с более длительными сроками оплаты без условия </w:t>
                  </w:r>
                  <w:r w:rsidRPr="00BB2D88">
                    <w:rPr>
                      <w:sz w:val="20"/>
                      <w:szCs w:val="20"/>
                    </w:rPr>
                    <w:lastRenderedPageBreak/>
                    <w:t>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9" type="#_x0000_t75" style="width:13.1pt;height:18.7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DC0DBF" w:rsidRDefault="00E8555B" w:rsidP="003D66E0">
                  <w:pPr>
                    <w:pStyle w:val="af0"/>
                    <w:ind w:left="0"/>
                    <w:rPr>
                      <w:sz w:val="22"/>
                      <w:szCs w:val="22"/>
                    </w:rPr>
                  </w:pPr>
                  <w:r w:rsidRPr="00DC0DBF">
                    <w:rPr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E8555B" w:rsidRPr="00972CBF" w:rsidRDefault="0056234F" w:rsidP="00972CB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56234F">
                    <w:rPr>
                      <w:bCs/>
                      <w:i/>
                      <w:sz w:val="22"/>
                      <w:szCs w:val="22"/>
                    </w:rPr>
                    <w:t xml:space="preserve">100% предварительной оплаты в течение 5 (пяти) банковских дней </w:t>
                  </w:r>
                  <w:proofErr w:type="gramStart"/>
                  <w:r w:rsidRPr="0056234F">
                    <w:rPr>
                      <w:bCs/>
                      <w:i/>
                      <w:sz w:val="22"/>
                      <w:szCs w:val="22"/>
                    </w:rPr>
                    <w:t>с даты выставления</w:t>
                  </w:r>
                  <w:proofErr w:type="gramEnd"/>
                  <w:r w:rsidRPr="0056234F">
                    <w:rPr>
                      <w:bCs/>
                      <w:i/>
                      <w:sz w:val="22"/>
                      <w:szCs w:val="22"/>
                    </w:rPr>
                    <w:t xml:space="preserve"> счета на оплату Поставщиком.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1pt;height:18.7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1pt;height:18.7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1pt;height:18.7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1pt;height:18.7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1pt;height:18.7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1pt;height:18.7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4.95pt;height:14.9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4.95pt;height:14.9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4.95pt;height:14.9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4.95pt;height:14.9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4.95pt;height:14.9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lastRenderedPageBreak/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65" type="#_x0000_t75" style="width:13.1pt;height:18.7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3.1pt;height:18.7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3.1pt;height:18.7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1pt;height:18.7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1pt;height:18.7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1pt;height:18.7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1pt;height:18.7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3.1pt;height:18.7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3.1pt;height:18.7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3.1pt;height:18.7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.1pt;height:18.7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07" type="#_x0000_t75" style="width:13.1pt;height:18.7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1pt;height:18.7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3.1pt;height:18.7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3.1pt;height:18.7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1pt;height:18.7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3.1pt;height:18.7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3pt;height:13.1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3.1pt;height:18.7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3pt;height:13.1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3.1pt;height:18.7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3pt;height:13.1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3pt;height:13.1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3.1pt;height:18.7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3.1pt;height:18.7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4.95pt;height:14.9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4.95pt;height:14.9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4.95pt;height:14.9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4.95pt;height:14.9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4.95pt;height:14.9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1pt;height:18.7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1pt;height:18.7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3pt;height:14.9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3pt;height:14.0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3.1pt;height:18.7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3.1pt;height:18.7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3.1pt;height:18.7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3.1pt;height:18.7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3pt;height:14.0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lastRenderedPageBreak/>
                    <w:object w:dxaOrig="225" w:dyaOrig="225">
                      <v:shape id="_x0000_i1593" type="#_x0000_t75" style="width:10.3pt;height:14.9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3.1pt;height:18.7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3pt;height:14.9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3pt;height:14.0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3pt;height:13.1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3.1pt;height:18.7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3.1pt;height:18.7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3.1pt;height:18.7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1pt;height:18.7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1pt;height:18.7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1pt;height:18.7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1pt;height:18.7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1pt;height:18.7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1pt;height:18.7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1pt;height:18.7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3.1pt;height:18.7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3.1pt;height:18.7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3.1pt;height:18.7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3.1pt;height:18.7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1pt;height:18.7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1pt;height:18.7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1pt;height:18.7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1pt;height:18.7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4.95pt;height:14.9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3.1pt;height:18.7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1pt;height:18.7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 xml:space="preserve">за исключением случаев непредставления документов и (или) сведений, необходимых </w:t>
                  </w:r>
                  <w:r w:rsidRPr="003328C3">
                    <w:rPr>
                      <w:sz w:val="20"/>
                      <w:szCs w:val="20"/>
                    </w:rPr>
                    <w:lastRenderedPageBreak/>
                    <w:t>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lastRenderedPageBreak/>
                    <w:object w:dxaOrig="225" w:dyaOrig="225">
                      <v:shape id="_x0000_i1678" type="#_x0000_t75" style="width:13.1pt;height:18.7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1pt;height:18.7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1pt;height:18.7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1pt;height:14.9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3.1pt;height:18.7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3.1pt;height:18.7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3.1pt;height:18.7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3.1pt;height:18.7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3.1pt;height:18.7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3pt;height:13.1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3pt;height:13.1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1pt;height:18.7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1pt;height:18.7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1pt;height:18.7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1pt;height:13.1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1pt;height:13.1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1pt;height:13.1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1pt;height:13.1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1pt;height:13.1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3.1pt;height:13.1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05pt;height:14.0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3.1pt;height:13.1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1pt;height:13.1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4.95pt;height:14.9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4.95pt;height:14.95pt" o:ole="">
                        <v:imagedata r:id="rId223" o:title=""/>
                      </v:shape>
                      <w:control r:id="rId225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2" o:title=""/>
                      </v:shape>
                      <w:control r:id="rId226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1pt;height:18.7pt" o:ole="">
                        <v:imagedata r:id="rId14" o:title=""/>
                      </v:shape>
                      <w:control r:id="rId227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14" o:title=""/>
                      </v:shape>
                      <w:control r:id="rId228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14" o:title=""/>
                      </v:shape>
                      <w:control r:id="rId229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1pt;height:18.7pt" o:ole="">
                        <v:imagedata r:id="rId14" o:title=""/>
                      </v:shape>
                      <w:control r:id="rId230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1pt;height:18.7pt" o:ole="">
                        <v:imagedata r:id="rId14" o:title=""/>
                      </v:shape>
                      <w:control r:id="rId231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32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4.95pt;height:14.95pt" o:ole="">
                        <v:imagedata r:id="rId233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4.95pt;height:14.95pt" o:ole="">
                        <v:imagedata r:id="rId223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4.9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4.9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4.95pt;height:14.9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4.95pt;height:14.95pt" o:ole="">
                        <v:imagedata r:id="rId223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4.95pt;height:14.95pt" o:ole="">
                        <v:imagedata r:id="rId23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4.95pt;height:14.9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4.95pt;height:14.9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1pt;height:18.7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1pt;height:18.7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1pt;height:18.7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8.7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8.7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1pt;height:18.7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.35pt;height:14.9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.35pt;height:14.9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4.95pt;height:14.9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4.95pt;height:14.9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4.95pt;height:14.9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4.95pt;height:14.9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1pt;height:18.7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</w:t>
            </w:r>
            <w:r w:rsidRPr="004003E2">
              <w:rPr>
                <w:sz w:val="20"/>
                <w:szCs w:val="20"/>
              </w:rPr>
              <w:lastRenderedPageBreak/>
              <w:t xml:space="preserve">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1pt;height:18.7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1pt;height:18.7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1pt;height:18.7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1pt;height:18.7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1pt;height:18.7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1pt;height:18.7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1pt;height:18.7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1pt;height:18.7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.1pt;height:18.7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.1pt;height:18.7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1pt;height:18.7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75pt;height:17.7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75pt;height:17.7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1pt;height:18.7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11" type="#_x0000_t75" style="width:13.1pt;height:18.7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75pt;height:18.7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1pt;height:18.7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1pt;height:18.7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6.85pt;height:16.85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D611E0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1pt;height:18.7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54" w:rsidRDefault="00971654">
      <w:r>
        <w:separator/>
      </w:r>
    </w:p>
    <w:p w:rsidR="00971654" w:rsidRDefault="00971654"/>
  </w:endnote>
  <w:endnote w:type="continuationSeparator" w:id="0">
    <w:p w:rsidR="00971654" w:rsidRDefault="00971654">
      <w:r>
        <w:continuationSeparator/>
      </w:r>
    </w:p>
    <w:p w:rsidR="00971654" w:rsidRDefault="00971654"/>
  </w:endnote>
  <w:endnote w:type="continuationNotice" w:id="1">
    <w:p w:rsidR="00971654" w:rsidRDefault="00971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54" w:rsidRDefault="00971654">
      <w:r>
        <w:separator/>
      </w:r>
    </w:p>
  </w:footnote>
  <w:footnote w:type="continuationSeparator" w:id="0">
    <w:p w:rsidR="00971654" w:rsidRDefault="00971654">
      <w:r>
        <w:continuationSeparator/>
      </w:r>
    </w:p>
  </w:footnote>
  <w:footnote w:type="continuationNotice" w:id="1">
    <w:p w:rsidR="00971654" w:rsidRDefault="00971654"/>
  </w:footnote>
  <w:footnote w:id="2">
    <w:p w:rsidR="00971654" w:rsidRPr="008031A0" w:rsidRDefault="0097165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971654" w:rsidRPr="00516D56" w:rsidRDefault="0097165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971654" w:rsidRPr="00E8555B" w:rsidRDefault="00971654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971654" w:rsidRPr="00E8555B" w:rsidRDefault="0097165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971654" w:rsidRPr="00E8555B" w:rsidRDefault="0097165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971654" w:rsidRDefault="00971654" w:rsidP="00B47206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971654" w:rsidRPr="00516D56" w:rsidRDefault="00971654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971654" w:rsidRPr="00516D56" w:rsidRDefault="00971654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971654" w:rsidRDefault="00971654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165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71654" w:rsidRPr="00635DCE" w:rsidRDefault="0097165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71654" w:rsidRDefault="0097165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34F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505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654"/>
    <w:rsid w:val="00971D09"/>
    <w:rsid w:val="00971EDB"/>
    <w:rsid w:val="009721A9"/>
    <w:rsid w:val="0097238E"/>
    <w:rsid w:val="0097250D"/>
    <w:rsid w:val="00972958"/>
    <w:rsid w:val="00972C93"/>
    <w:rsid w:val="00972CBF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1E0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A2F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90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2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image" Target="media/image24.wmf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798C-7ECE-45B3-A1EA-462EE48FC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C11F2-9D2F-4C0A-BA99-66785451F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1DE1A-22CE-4525-A6FC-5C8179C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22</Pages>
  <Words>7173</Words>
  <Characters>62868</Characters>
  <Application>Microsoft Office Word</Application>
  <DocSecurity>0</DocSecurity>
  <Lines>523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56</cp:revision>
  <cp:lastPrinted>2021-07-26T04:50:00Z</cp:lastPrinted>
  <dcterms:created xsi:type="dcterms:W3CDTF">2020-05-31T11:36:00Z</dcterms:created>
  <dcterms:modified xsi:type="dcterms:W3CDTF">2021-07-26T04:54:00Z</dcterms:modified>
</cp:coreProperties>
</file>