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3446C9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5039086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A950BB">
        <w:rPr>
          <w:rFonts w:ascii="Times New Roman" w:eastAsia="Times New Roman" w:hAnsi="Times New Roman"/>
          <w:b/>
          <w:sz w:val="24"/>
          <w:lang w:eastAsia="ru-RU"/>
        </w:rPr>
        <w:t>1</w:t>
      </w:r>
      <w:r w:rsidR="003446C9">
        <w:rPr>
          <w:rFonts w:ascii="Times New Roman" w:eastAsia="Times New Roman" w:hAnsi="Times New Roman"/>
          <w:b/>
          <w:sz w:val="24"/>
          <w:lang w:eastAsia="ru-RU"/>
        </w:rPr>
        <w:t>7</w:t>
      </w:r>
      <w:r w:rsidRPr="003446C9">
        <w:rPr>
          <w:rFonts w:ascii="Times New Roman" w:eastAsia="Times New Roman" w:hAnsi="Times New Roman"/>
          <w:b/>
          <w:sz w:val="24"/>
          <w:lang w:eastAsia="ru-RU"/>
        </w:rPr>
        <w:t>.10.2017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1232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i.nesterenko@uszo.ru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Нестеренко Ирина Петровна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"БийскэнергоТеплоТранзит"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территория ТЭЦ-1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43-22-48, bett-sekretar@utg.biyskenergo.ru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Краны шаровые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105 999,98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50 РУ 40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897,56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25 РУ 40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564,76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40 РУ 40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816,88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32 РУ 40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150 РУ 25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4 134,84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50 РУ 40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837,05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100 РУ 25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1 714,44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32 РУ 40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608,24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50 РУ 40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847,14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80 РУ 25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1 462,32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32 РУ 40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50 РУ 40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835,04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15 РУ 40 Т=150 ВОДА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747,66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25 РУ 40 Т=150 ВОДА ПАР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564,76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СТАЛЬНОЙ СТАНДАРТНОПРОХОДНОЙ ПОД ПРИВАРКУ ДУ 20 РУ 40 Т=150 ВОДА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КРАН ШАРОВОЙ ПОД ПРИВАРКУ ДУ 150 РУ 25 Т=150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4 134,84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659328, Алтайский край, г. Бийск, ул. Трофимова, 4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Планируемый срок поставки -  в течение 20-и календарных дней с момента поступления письменных заявок покупателя в адрес поставщика. Поставляемая Продукция должна быть новой, ранее неиспользованной, производства РФ, дата изготовления не ранее 2017 года. В момент передачи товара обязательно наличие документов, удостоверяющих качество. Гарантийный срок на поставляемую продукцию согласно документации изготовителя, но не менее 12 месяцев с момента ввода в эксплуатацию. Поставщик обязуется осуществлять поставку товара, прошедшего обязательную сертификацию или декларирование  в соответствии с действующими требованиями законодательства РФ. Фиксация цены на весь период действия договора.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Авансирование не предусмотрено, предложения содержащие аванс не рассматриваются. Срок оплаты продукции в течение 30 (тридцати) календарных дней со дня получения продукции покупателем.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расходов на перевозку до места поставки, страхование, уплату таможенных пошлин, налогов (без учета НДС) и других обязательных платежей (упаковка).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Допускается замена на аналоги, не уступающие по техническим характеристикам заявленным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F9462B" w:rsidRPr="00953414" w:rsidRDefault="00F9462B" w:rsidP="00A64972">
      <w:pPr>
        <w:pStyle w:val="afe"/>
      </w:pPr>
      <w:bookmarkStart w:id="29" w:name="order_participant_req"/>
      <w:r>
        <w:t>В КП обязательно указывать наименование завода-изготовителя.</w:t>
      </w:r>
      <w:bookmarkEnd w:id="29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30" w:name="offer_date"/>
      <w:r w:rsidRPr="00A950BB">
        <w:rPr>
          <w:b/>
          <w:sz w:val="22"/>
          <w:szCs w:val="22"/>
          <w:u w:val="single"/>
        </w:rPr>
        <w:t>12-00 1</w:t>
      </w:r>
      <w:r w:rsidR="003446C9">
        <w:rPr>
          <w:b/>
          <w:sz w:val="22"/>
          <w:szCs w:val="22"/>
          <w:u w:val="single"/>
        </w:rPr>
        <w:t>8</w:t>
      </w:r>
      <w:r w:rsidRPr="00A950BB">
        <w:rPr>
          <w:b/>
          <w:sz w:val="22"/>
          <w:szCs w:val="22"/>
          <w:u w:val="single"/>
        </w:rPr>
        <w:t>.10.17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1" w:name="protocol_date"/>
      <w:r>
        <w:rPr>
          <w:b/>
          <w:bCs/>
          <w:sz w:val="22"/>
          <w:szCs w:val="22"/>
        </w:rPr>
        <w:t>2</w:t>
      </w:r>
      <w:r w:rsidR="003446C9">
        <w:rPr>
          <w:b/>
          <w:bCs/>
          <w:sz w:val="22"/>
          <w:szCs w:val="22"/>
        </w:rPr>
        <w:t>7</w:t>
      </w:r>
      <w:bookmarkStart w:id="32" w:name="_GoBack"/>
      <w:bookmarkEnd w:id="32"/>
      <w:r>
        <w:rPr>
          <w:b/>
          <w:bCs/>
          <w:sz w:val="22"/>
          <w:szCs w:val="22"/>
        </w:rPr>
        <w:t>.10.2017</w:t>
      </w:r>
      <w:bookmarkEnd w:id="31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3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5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5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6" w:name="condition_KP_retender"/>
      <w:bookmarkEnd w:id="36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A64972">
      <w:pPr>
        <w:pStyle w:val="3"/>
      </w:pPr>
      <w:bookmarkStart w:id="37" w:name="condition_delivery_time"/>
      <w:r>
        <w:t>П</w:t>
      </w:r>
      <w:r w:rsidRPr="00E11811">
        <w:t xml:space="preserve">ри подаче заявки со сроком </w:t>
      </w:r>
      <w:bookmarkStart w:id="38" w:name="condition_delivery_time_header"/>
      <w:r>
        <w:t>поставки</w:t>
      </w:r>
      <w:bookmarkEnd w:id="38"/>
      <w:r w:rsidRPr="00E11811">
        <w:t xml:space="preserve"> позже срока, требуемого документацией</w:t>
      </w:r>
      <w:r>
        <w:t>;</w:t>
      </w:r>
      <w:bookmarkEnd w:id="37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9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9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A64972" w:rsidRDefault="00A64972" w:rsidP="00A64972">
      <w:pPr>
        <w:pStyle w:val="2"/>
      </w:pPr>
      <w:bookmarkStart w:id="41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1"/>
    </w:p>
    <w:p w:rsidR="00413AD9" w:rsidRDefault="00413AD9" w:rsidP="00413AD9">
      <w:pPr>
        <w:pStyle w:val="3"/>
      </w:pPr>
      <w:bookmarkStart w:id="4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2"/>
    </w:p>
    <w:p w:rsidR="00A64972" w:rsidRDefault="00A64972" w:rsidP="00A64972">
      <w:pPr>
        <w:pStyle w:val="3"/>
      </w:pPr>
      <w:bookmarkStart w:id="43" w:name="priorityRF_paragraph2"/>
      <w:r>
        <w:lastRenderedPageBreak/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3"/>
    </w:p>
    <w:p w:rsidR="00A64972" w:rsidRDefault="00A64972" w:rsidP="00A64972">
      <w:pPr>
        <w:pStyle w:val="3"/>
      </w:pPr>
      <w:bookmarkStart w:id="4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4"/>
    </w:p>
    <w:p w:rsidR="00A64972" w:rsidRDefault="00A64972" w:rsidP="00F345DF">
      <w:pPr>
        <w:pStyle w:val="3"/>
      </w:pPr>
      <w:bookmarkStart w:id="45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5"/>
    </w:p>
    <w:p w:rsidR="00A64972" w:rsidRDefault="00A64972" w:rsidP="00A64972">
      <w:pPr>
        <w:pStyle w:val="3"/>
      </w:pPr>
      <w:bookmarkStart w:id="46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6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7" w:name="appendix"/>
      <w:r>
        <w:rPr>
          <w:sz w:val="22"/>
          <w:szCs w:val="18"/>
        </w:rPr>
        <w:t>Проект договора (краны шаровые)</w:t>
      </w:r>
      <w:bookmarkEnd w:id="47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3446C9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3446C9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3446C9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4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46C9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50B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F56C-B77A-454A-9A01-DAEAECD2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Нестеренко И.П.</cp:lastModifiedBy>
  <cp:revision>71</cp:revision>
  <cp:lastPrinted>2016-06-17T08:27:00Z</cp:lastPrinted>
  <dcterms:created xsi:type="dcterms:W3CDTF">2016-06-17T06:14:00Z</dcterms:created>
  <dcterms:modified xsi:type="dcterms:W3CDTF">2017-10-17T00:40:00Z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