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53" w:rsidRPr="00BB6BDF" w:rsidRDefault="00790E53" w:rsidP="00790E53">
      <w:pPr>
        <w:tabs>
          <w:tab w:val="left" w:pos="708"/>
          <w:tab w:val="num" w:pos="1701"/>
        </w:tabs>
        <w:ind w:right="-1"/>
        <w:jc w:val="center"/>
        <w:rPr>
          <w:rFonts w:eastAsia="Calibri"/>
          <w:b/>
        </w:rPr>
      </w:pPr>
      <w:r w:rsidRPr="00BB6BDF">
        <w:rPr>
          <w:rFonts w:eastAsia="Calibri"/>
          <w:b/>
        </w:rPr>
        <w:t>ИНФОРМАЦИОННОЕ СООБЩЕНИЕ</w:t>
      </w:r>
    </w:p>
    <w:p w:rsidR="00790E53" w:rsidRPr="00BB6BDF" w:rsidRDefault="00790E53" w:rsidP="00790E53">
      <w:pPr>
        <w:tabs>
          <w:tab w:val="left" w:pos="708"/>
          <w:tab w:val="num" w:pos="1701"/>
        </w:tabs>
        <w:ind w:right="-1"/>
        <w:jc w:val="center"/>
        <w:rPr>
          <w:rFonts w:eastAsia="Calibri"/>
          <w:b/>
        </w:rPr>
      </w:pPr>
    </w:p>
    <w:p w:rsidR="00790E53" w:rsidRPr="00BB6BDF" w:rsidRDefault="00790E53" w:rsidP="00790E53">
      <w:pPr>
        <w:tabs>
          <w:tab w:val="left" w:pos="708"/>
          <w:tab w:val="num" w:pos="1701"/>
        </w:tabs>
        <w:ind w:right="-1"/>
        <w:jc w:val="center"/>
        <w:rPr>
          <w:rFonts w:eastAsia="Calibri"/>
          <w:b/>
        </w:rPr>
      </w:pPr>
      <w:r w:rsidRPr="00BB6BDF">
        <w:rPr>
          <w:rFonts w:eastAsia="Calibri"/>
          <w:b/>
        </w:rPr>
        <w:t xml:space="preserve">О проведении процедуры </w:t>
      </w:r>
      <w:r w:rsidR="007812F2" w:rsidRPr="00BB6BDF">
        <w:rPr>
          <w:rFonts w:eastAsia="Calibri"/>
          <w:b/>
        </w:rPr>
        <w:t>сбор коммерческих предложений</w:t>
      </w:r>
    </w:p>
    <w:p w:rsidR="00790E53" w:rsidRPr="00BB6BDF" w:rsidRDefault="00790E53" w:rsidP="00790E53">
      <w:pPr>
        <w:tabs>
          <w:tab w:val="left" w:pos="708"/>
          <w:tab w:val="num" w:pos="1701"/>
        </w:tabs>
        <w:ind w:right="-1"/>
        <w:jc w:val="center"/>
        <w:rPr>
          <w:b/>
          <w:i/>
        </w:rPr>
      </w:pPr>
    </w:p>
    <w:p w:rsidR="008E318E" w:rsidRPr="00BB6BDF" w:rsidRDefault="00C16D66" w:rsidP="00660E3E">
      <w:pPr>
        <w:spacing w:before="0"/>
        <w:ind w:firstLine="851"/>
        <w:jc w:val="both"/>
        <w:rPr>
          <w:sz w:val="24"/>
          <w:szCs w:val="24"/>
        </w:rPr>
      </w:pPr>
      <w:r w:rsidRPr="00BB6BDF">
        <w:rPr>
          <w:sz w:val="24"/>
          <w:szCs w:val="24"/>
        </w:rPr>
        <w:t xml:space="preserve">С целью </w:t>
      </w:r>
      <w:r w:rsidR="002067A6" w:rsidRPr="00BB6BDF">
        <w:rPr>
          <w:sz w:val="24"/>
          <w:szCs w:val="24"/>
        </w:rPr>
        <w:t>сбора ин</w:t>
      </w:r>
      <w:r w:rsidR="006D6BFD" w:rsidRPr="00BB6BDF">
        <w:rPr>
          <w:sz w:val="24"/>
          <w:szCs w:val="24"/>
        </w:rPr>
        <w:t xml:space="preserve">формации по стоимости и </w:t>
      </w:r>
      <w:r w:rsidR="005B7481" w:rsidRPr="00BB6BDF">
        <w:rPr>
          <w:sz w:val="24"/>
          <w:szCs w:val="24"/>
        </w:rPr>
        <w:t>условиям</w:t>
      </w:r>
      <w:r w:rsidR="00811FF3" w:rsidRPr="00BB6BDF">
        <w:rPr>
          <w:sz w:val="24"/>
          <w:szCs w:val="24"/>
        </w:rPr>
        <w:t xml:space="preserve"> </w:t>
      </w:r>
      <w:r w:rsidR="004F73F6" w:rsidRPr="00BB6BDF">
        <w:rPr>
          <w:sz w:val="24"/>
          <w:szCs w:val="24"/>
        </w:rPr>
        <w:t xml:space="preserve">оказания услуг по </w:t>
      </w:r>
      <w:r w:rsidR="00524C8B" w:rsidRPr="00BB6BDF">
        <w:rPr>
          <w:sz w:val="24"/>
          <w:szCs w:val="24"/>
        </w:rPr>
        <w:t>поставк</w:t>
      </w:r>
      <w:r w:rsidR="004F73F6" w:rsidRPr="00BB6BDF">
        <w:rPr>
          <w:sz w:val="24"/>
          <w:szCs w:val="24"/>
        </w:rPr>
        <w:t>е и выполнения работ по ремонту</w:t>
      </w:r>
      <w:r w:rsidR="00524C8B" w:rsidRPr="00BB6BDF">
        <w:rPr>
          <w:sz w:val="24"/>
          <w:szCs w:val="24"/>
        </w:rPr>
        <w:t xml:space="preserve"> </w:t>
      </w:r>
      <w:r w:rsidR="002D14F8" w:rsidRPr="00BB6BDF">
        <w:rPr>
          <w:sz w:val="24"/>
          <w:szCs w:val="24"/>
        </w:rPr>
        <w:t>брендовой и офисной</w:t>
      </w:r>
      <w:r w:rsidR="00632F1E" w:rsidRPr="00BB6BDF">
        <w:rPr>
          <w:sz w:val="24"/>
          <w:szCs w:val="24"/>
        </w:rPr>
        <w:t xml:space="preserve"> мебели</w:t>
      </w:r>
      <w:r w:rsidR="00495A97" w:rsidRPr="00BB6BDF">
        <w:rPr>
          <w:sz w:val="24"/>
          <w:szCs w:val="24"/>
        </w:rPr>
        <w:t xml:space="preserve"> ПАО</w:t>
      </w:r>
      <w:r w:rsidR="005F0FA0" w:rsidRPr="00BB6BDF">
        <w:rPr>
          <w:sz w:val="24"/>
          <w:szCs w:val="24"/>
        </w:rPr>
        <w:t xml:space="preserve"> «Почта Банк» просит всех заинтересованных лиц представить свои</w:t>
      </w:r>
      <w:r w:rsidR="002067A6" w:rsidRPr="00BB6BDF">
        <w:rPr>
          <w:sz w:val="24"/>
          <w:szCs w:val="24"/>
        </w:rPr>
        <w:t xml:space="preserve"> </w:t>
      </w:r>
      <w:r w:rsidR="008E318E" w:rsidRPr="00BB6BDF">
        <w:rPr>
          <w:sz w:val="24"/>
          <w:szCs w:val="24"/>
        </w:rPr>
        <w:t>коммерческие предложения</w:t>
      </w:r>
      <w:r w:rsidR="002067A6" w:rsidRPr="00BB6BDF">
        <w:rPr>
          <w:sz w:val="24"/>
          <w:szCs w:val="24"/>
        </w:rPr>
        <w:t xml:space="preserve"> (далее – Предложения)</w:t>
      </w:r>
      <w:r w:rsidR="005F0FA0" w:rsidRPr="00BB6BDF">
        <w:rPr>
          <w:sz w:val="24"/>
          <w:szCs w:val="24"/>
        </w:rPr>
        <w:t>.</w:t>
      </w:r>
    </w:p>
    <w:p w:rsidR="00D607E8" w:rsidRPr="00BB6BDF" w:rsidRDefault="00D607E8" w:rsidP="00D607E8">
      <w:pPr>
        <w:spacing w:before="0"/>
        <w:ind w:firstLine="851"/>
        <w:jc w:val="both"/>
        <w:rPr>
          <w:sz w:val="24"/>
          <w:szCs w:val="24"/>
        </w:rPr>
      </w:pPr>
      <w:r w:rsidRPr="00BB6BDF">
        <w:rPr>
          <w:sz w:val="24"/>
          <w:szCs w:val="24"/>
        </w:rPr>
        <w:t xml:space="preserve">ПАО «Почта Банк» информирует, что по результатам рассмотрения поступивших Предложений у Банка есть право, а не обязанность по заключению договора. </w:t>
      </w:r>
    </w:p>
    <w:p w:rsidR="00D607E8" w:rsidRPr="00BB6BDF" w:rsidRDefault="00D607E8" w:rsidP="00D607E8">
      <w:pPr>
        <w:spacing w:before="0"/>
        <w:ind w:firstLine="851"/>
        <w:jc w:val="both"/>
        <w:rPr>
          <w:sz w:val="24"/>
          <w:szCs w:val="24"/>
        </w:rPr>
      </w:pPr>
      <w:r w:rsidRPr="00BB6BDF">
        <w:rPr>
          <w:sz w:val="24"/>
          <w:szCs w:val="24"/>
        </w:rPr>
        <w:t xml:space="preserve">Банк не обязан определять победителя по процедуре и вправе завершить её, отклонив все поступившие Предложения. Участники должны учитывать данное обстоятельство при подаче своих Предложений на участие в процедуре </w:t>
      </w:r>
      <w:r w:rsidR="00C0434F" w:rsidRPr="00BB6BDF">
        <w:rPr>
          <w:sz w:val="24"/>
          <w:szCs w:val="24"/>
        </w:rPr>
        <w:t>сбор КП</w:t>
      </w:r>
      <w:r w:rsidRPr="00BB6BDF">
        <w:rPr>
          <w:sz w:val="24"/>
          <w:szCs w:val="24"/>
        </w:rPr>
        <w:t>.</w:t>
      </w:r>
    </w:p>
    <w:p w:rsidR="00D607E8" w:rsidRPr="00BB6BDF" w:rsidRDefault="00D607E8" w:rsidP="00D607E8">
      <w:pPr>
        <w:spacing w:before="0"/>
        <w:ind w:firstLine="851"/>
        <w:jc w:val="both"/>
        <w:rPr>
          <w:sz w:val="24"/>
          <w:szCs w:val="24"/>
        </w:rPr>
      </w:pPr>
      <w:r w:rsidRPr="00BB6BDF">
        <w:rPr>
          <w:sz w:val="24"/>
          <w:szCs w:val="24"/>
        </w:rPr>
        <w:t>ПАО «Почта Банк» сообщает, что Предложения, полученные по окончании установленного срока рассматриваться, не будут.</w:t>
      </w:r>
    </w:p>
    <w:p w:rsidR="00D607E8" w:rsidRPr="00BB6BDF" w:rsidRDefault="00D607E8" w:rsidP="00D607E8">
      <w:pPr>
        <w:spacing w:before="0"/>
        <w:ind w:firstLine="851"/>
        <w:jc w:val="both"/>
        <w:rPr>
          <w:sz w:val="24"/>
          <w:szCs w:val="24"/>
        </w:rPr>
      </w:pPr>
      <w:r w:rsidRPr="00BB6BDF">
        <w:rPr>
          <w:sz w:val="24"/>
          <w:szCs w:val="24"/>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rsidR="001C6C4F" w:rsidRPr="00BB6BDF" w:rsidRDefault="00067016" w:rsidP="00067016">
      <w:pPr>
        <w:spacing w:before="0"/>
        <w:ind w:firstLine="851"/>
        <w:jc w:val="both"/>
        <w:rPr>
          <w:sz w:val="24"/>
          <w:szCs w:val="24"/>
        </w:rPr>
      </w:pPr>
      <w:r w:rsidRPr="00BB6BDF">
        <w:rPr>
          <w:sz w:val="24"/>
          <w:szCs w:val="24"/>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8" w:history="1">
        <w:r w:rsidRPr="00BB6BDF">
          <w:rPr>
            <w:sz w:val="24"/>
            <w:szCs w:val="24"/>
          </w:rPr>
          <w:t>https://www.fabrikant.ru</w:t>
        </w:r>
      </w:hyperlink>
      <w:r w:rsidRPr="00BB6BDF">
        <w:rPr>
          <w:sz w:val="24"/>
          <w:szCs w:val="24"/>
        </w:rPr>
        <w:t xml:space="preserve"> и содержать в обязательном порядке:</w:t>
      </w:r>
    </w:p>
    <w:p w:rsidR="005F0FA0" w:rsidRPr="00BB6BDF" w:rsidRDefault="00653049" w:rsidP="00660E3E">
      <w:pPr>
        <w:pStyle w:val="ab"/>
        <w:numPr>
          <w:ilvl w:val="0"/>
          <w:numId w:val="12"/>
        </w:numPr>
        <w:tabs>
          <w:tab w:val="left" w:pos="284"/>
        </w:tabs>
        <w:spacing w:before="0"/>
        <w:ind w:left="0" w:firstLine="0"/>
        <w:jc w:val="both"/>
        <w:rPr>
          <w:sz w:val="24"/>
          <w:szCs w:val="24"/>
        </w:rPr>
      </w:pPr>
      <w:r w:rsidRPr="00BB6BDF">
        <w:rPr>
          <w:i/>
          <w:sz w:val="24"/>
          <w:szCs w:val="24"/>
        </w:rPr>
        <w:t>К</w:t>
      </w:r>
      <w:r w:rsidR="001C6C4F" w:rsidRPr="00BB6BDF">
        <w:rPr>
          <w:i/>
          <w:sz w:val="24"/>
          <w:szCs w:val="24"/>
        </w:rPr>
        <w:t>оммерческое предложение</w:t>
      </w:r>
      <w:r w:rsidR="00AE075B" w:rsidRPr="00BB6BDF">
        <w:rPr>
          <w:i/>
          <w:sz w:val="24"/>
          <w:szCs w:val="24"/>
        </w:rPr>
        <w:t xml:space="preserve"> </w:t>
      </w:r>
      <w:r w:rsidR="005D719D" w:rsidRPr="00BB6BDF">
        <w:rPr>
          <w:sz w:val="24"/>
          <w:szCs w:val="24"/>
        </w:rPr>
        <w:t>по форме Приложения №1</w:t>
      </w:r>
      <w:r w:rsidR="00F06836" w:rsidRPr="00BB6BDF">
        <w:rPr>
          <w:sz w:val="24"/>
          <w:szCs w:val="24"/>
        </w:rPr>
        <w:t>;</w:t>
      </w:r>
    </w:p>
    <w:p w:rsidR="00D607E8" w:rsidRPr="00BB6BDF" w:rsidRDefault="00D607E8" w:rsidP="00D607E8">
      <w:pPr>
        <w:spacing w:before="0"/>
        <w:ind w:firstLine="851"/>
        <w:jc w:val="both"/>
        <w:rPr>
          <w:sz w:val="24"/>
          <w:szCs w:val="24"/>
        </w:rPr>
      </w:pPr>
    </w:p>
    <w:p w:rsidR="00D607E8" w:rsidRPr="00BB6BDF" w:rsidRDefault="00D607E8" w:rsidP="00D607E8">
      <w:pPr>
        <w:pStyle w:val="ab"/>
        <w:tabs>
          <w:tab w:val="left" w:pos="284"/>
        </w:tabs>
        <w:spacing w:before="0"/>
        <w:ind w:left="0"/>
        <w:jc w:val="both"/>
        <w:rPr>
          <w:sz w:val="24"/>
          <w:szCs w:val="24"/>
        </w:rPr>
      </w:pPr>
    </w:p>
    <w:p w:rsidR="00D62D93" w:rsidRPr="00BB6BDF" w:rsidRDefault="00AE075B" w:rsidP="005B7481">
      <w:pPr>
        <w:spacing w:before="0"/>
        <w:jc w:val="center"/>
        <w:rPr>
          <w:b/>
          <w:sz w:val="24"/>
          <w:szCs w:val="24"/>
        </w:rPr>
      </w:pPr>
      <w:r w:rsidRPr="00BB6BDF">
        <w:rPr>
          <w:b/>
          <w:sz w:val="24"/>
          <w:szCs w:val="24"/>
        </w:rPr>
        <w:t xml:space="preserve">Основная информация о </w:t>
      </w:r>
      <w:r w:rsidR="000C626F" w:rsidRPr="00BB6BDF">
        <w:rPr>
          <w:b/>
          <w:sz w:val="24"/>
          <w:szCs w:val="24"/>
        </w:rPr>
        <w:t xml:space="preserve">процедуре </w:t>
      </w:r>
      <w:r w:rsidR="007812F2" w:rsidRPr="00BB6BDF">
        <w:rPr>
          <w:b/>
          <w:sz w:val="24"/>
          <w:szCs w:val="24"/>
        </w:rPr>
        <w:t>сбор КП</w:t>
      </w:r>
      <w:r w:rsidR="00D62D93" w:rsidRPr="00BB6BDF">
        <w:rPr>
          <w:b/>
          <w:sz w:val="24"/>
          <w:szCs w:val="24"/>
        </w:rPr>
        <w:t xml:space="preserve"> на </w:t>
      </w:r>
      <w:r w:rsidR="00B3684B" w:rsidRPr="00BB6BDF">
        <w:rPr>
          <w:b/>
          <w:sz w:val="24"/>
          <w:szCs w:val="24"/>
        </w:rPr>
        <w:t>оказание услуг по поставке и выполнение работ по ремонту брендовой и офисной мебели</w:t>
      </w:r>
    </w:p>
    <w:tbl>
      <w:tblPr>
        <w:tblStyle w:val="aa"/>
        <w:tblW w:w="0" w:type="auto"/>
        <w:tblLook w:val="04A0" w:firstRow="1" w:lastRow="0" w:firstColumn="1" w:lastColumn="0" w:noHBand="0" w:noVBand="1"/>
      </w:tblPr>
      <w:tblGrid>
        <w:gridCol w:w="562"/>
        <w:gridCol w:w="4473"/>
        <w:gridCol w:w="4592"/>
      </w:tblGrid>
      <w:tr w:rsidR="00BB6BDF" w:rsidRPr="00BB6BDF" w:rsidTr="005B7481">
        <w:tc>
          <w:tcPr>
            <w:tcW w:w="562" w:type="dxa"/>
            <w:vAlign w:val="center"/>
          </w:tcPr>
          <w:p w:rsidR="00AE075B" w:rsidRPr="00BB6BDF" w:rsidRDefault="00280438" w:rsidP="00280438">
            <w:pPr>
              <w:jc w:val="center"/>
              <w:rPr>
                <w:sz w:val="24"/>
                <w:szCs w:val="24"/>
              </w:rPr>
            </w:pPr>
            <w:bookmarkStart w:id="0" w:name="_Hlk515018812"/>
            <w:r w:rsidRPr="00BB6BDF">
              <w:rPr>
                <w:sz w:val="24"/>
                <w:szCs w:val="24"/>
              </w:rPr>
              <w:t>№</w:t>
            </w:r>
            <w:r w:rsidRPr="00BB6BDF">
              <w:rPr>
                <w:sz w:val="24"/>
                <w:szCs w:val="24"/>
              </w:rPr>
              <w:br/>
              <w:t>п/п</w:t>
            </w:r>
          </w:p>
        </w:tc>
        <w:tc>
          <w:tcPr>
            <w:tcW w:w="4536" w:type="dxa"/>
            <w:vAlign w:val="center"/>
          </w:tcPr>
          <w:p w:rsidR="00AE075B" w:rsidRPr="00BB6BDF" w:rsidRDefault="00280438" w:rsidP="00280438">
            <w:pPr>
              <w:jc w:val="center"/>
              <w:rPr>
                <w:sz w:val="24"/>
                <w:szCs w:val="24"/>
              </w:rPr>
            </w:pPr>
            <w:r w:rsidRPr="00BB6BDF">
              <w:rPr>
                <w:sz w:val="24"/>
                <w:szCs w:val="24"/>
              </w:rPr>
              <w:t>Наименование данных</w:t>
            </w:r>
          </w:p>
        </w:tc>
        <w:tc>
          <w:tcPr>
            <w:tcW w:w="4678" w:type="dxa"/>
            <w:vAlign w:val="center"/>
          </w:tcPr>
          <w:p w:rsidR="00AE075B" w:rsidRPr="00BB6BDF" w:rsidRDefault="00280438" w:rsidP="00280438">
            <w:pPr>
              <w:jc w:val="center"/>
              <w:rPr>
                <w:sz w:val="24"/>
                <w:szCs w:val="24"/>
              </w:rPr>
            </w:pPr>
            <w:r w:rsidRPr="00BB6BDF">
              <w:rPr>
                <w:sz w:val="24"/>
                <w:szCs w:val="24"/>
              </w:rPr>
              <w:t>Данные</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1</w:t>
            </w:r>
          </w:p>
        </w:tc>
        <w:tc>
          <w:tcPr>
            <w:tcW w:w="4536" w:type="dxa"/>
          </w:tcPr>
          <w:p w:rsidR="00D607E8" w:rsidRPr="00BB6BDF" w:rsidRDefault="00D607E8" w:rsidP="00D607E8">
            <w:pPr>
              <w:jc w:val="both"/>
              <w:rPr>
                <w:sz w:val="24"/>
                <w:szCs w:val="24"/>
              </w:rPr>
            </w:pPr>
            <w:r w:rsidRPr="00BB6BDF">
              <w:rPr>
                <w:sz w:val="24"/>
                <w:szCs w:val="24"/>
              </w:rPr>
              <w:t xml:space="preserve">Общее наименование процедуры </w:t>
            </w:r>
          </w:p>
        </w:tc>
        <w:tc>
          <w:tcPr>
            <w:tcW w:w="4678" w:type="dxa"/>
          </w:tcPr>
          <w:p w:rsidR="00D607E8" w:rsidRPr="00BB6BDF" w:rsidRDefault="007812F2" w:rsidP="00D607E8">
            <w:pPr>
              <w:jc w:val="both"/>
              <w:rPr>
                <w:sz w:val="24"/>
                <w:szCs w:val="24"/>
              </w:rPr>
            </w:pPr>
            <w:r w:rsidRPr="00BB6BDF">
              <w:rPr>
                <w:sz w:val="24"/>
                <w:szCs w:val="24"/>
              </w:rPr>
              <w:t>Сбор КП</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2</w:t>
            </w:r>
          </w:p>
        </w:tc>
        <w:tc>
          <w:tcPr>
            <w:tcW w:w="4536" w:type="dxa"/>
          </w:tcPr>
          <w:p w:rsidR="00D607E8" w:rsidRPr="00BB6BDF" w:rsidRDefault="00D607E8" w:rsidP="00D607E8">
            <w:pPr>
              <w:jc w:val="both"/>
              <w:rPr>
                <w:sz w:val="24"/>
                <w:szCs w:val="24"/>
              </w:rPr>
            </w:pPr>
            <w:r w:rsidRPr="00BB6BDF">
              <w:rPr>
                <w:sz w:val="24"/>
                <w:szCs w:val="24"/>
              </w:rPr>
              <w:t xml:space="preserve">Дата завершения приема предложений </w:t>
            </w:r>
          </w:p>
        </w:tc>
        <w:tc>
          <w:tcPr>
            <w:tcW w:w="4678" w:type="dxa"/>
          </w:tcPr>
          <w:p w:rsidR="00D607E8" w:rsidRPr="00BB6BDF" w:rsidRDefault="00D607E8" w:rsidP="00D607E8">
            <w:pPr>
              <w:jc w:val="both"/>
              <w:rPr>
                <w:sz w:val="24"/>
                <w:szCs w:val="24"/>
              </w:rPr>
            </w:pP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3</w:t>
            </w:r>
          </w:p>
        </w:tc>
        <w:tc>
          <w:tcPr>
            <w:tcW w:w="4536" w:type="dxa"/>
          </w:tcPr>
          <w:p w:rsidR="00D607E8" w:rsidRPr="00BB6BDF" w:rsidRDefault="00D607E8" w:rsidP="00D607E8">
            <w:pPr>
              <w:rPr>
                <w:sz w:val="24"/>
                <w:szCs w:val="24"/>
              </w:rPr>
            </w:pPr>
            <w:r w:rsidRPr="00BB6BDF">
              <w:rPr>
                <w:sz w:val="24"/>
                <w:szCs w:val="24"/>
              </w:rPr>
              <w:t>Валюта </w:t>
            </w:r>
          </w:p>
        </w:tc>
        <w:tc>
          <w:tcPr>
            <w:tcW w:w="4678" w:type="dxa"/>
          </w:tcPr>
          <w:p w:rsidR="00D607E8" w:rsidRPr="00BB6BDF" w:rsidRDefault="00D607E8" w:rsidP="00D607E8">
            <w:pPr>
              <w:jc w:val="both"/>
              <w:rPr>
                <w:sz w:val="24"/>
                <w:szCs w:val="24"/>
              </w:rPr>
            </w:pPr>
            <w:r w:rsidRPr="00BB6BDF">
              <w:rPr>
                <w:sz w:val="24"/>
                <w:szCs w:val="24"/>
              </w:rPr>
              <w:t>Российский рубль</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4</w:t>
            </w:r>
          </w:p>
        </w:tc>
        <w:tc>
          <w:tcPr>
            <w:tcW w:w="4536" w:type="dxa"/>
          </w:tcPr>
          <w:p w:rsidR="00D607E8" w:rsidRPr="00BB6BDF" w:rsidRDefault="00D607E8" w:rsidP="00D607E8">
            <w:pPr>
              <w:jc w:val="both"/>
              <w:rPr>
                <w:sz w:val="24"/>
                <w:szCs w:val="24"/>
              </w:rPr>
            </w:pPr>
            <w:r w:rsidRPr="00BB6BDF">
              <w:rPr>
                <w:sz w:val="24"/>
                <w:szCs w:val="24"/>
              </w:rPr>
              <w:t xml:space="preserve">Предмет договора </w:t>
            </w:r>
          </w:p>
        </w:tc>
        <w:tc>
          <w:tcPr>
            <w:tcW w:w="4678" w:type="dxa"/>
          </w:tcPr>
          <w:p w:rsidR="00D607E8" w:rsidRPr="00BB6BDF" w:rsidRDefault="004F73F6" w:rsidP="004F73F6">
            <w:pPr>
              <w:jc w:val="both"/>
              <w:rPr>
                <w:sz w:val="24"/>
                <w:szCs w:val="24"/>
              </w:rPr>
            </w:pPr>
            <w:r w:rsidRPr="00BB6BDF">
              <w:rPr>
                <w:sz w:val="24"/>
                <w:szCs w:val="24"/>
              </w:rPr>
              <w:t>оказание услуг по поставке и выполнение работ по ремонту брендовой и офисной мебели</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5</w:t>
            </w:r>
          </w:p>
        </w:tc>
        <w:tc>
          <w:tcPr>
            <w:tcW w:w="4536" w:type="dxa"/>
          </w:tcPr>
          <w:p w:rsidR="00D607E8" w:rsidRPr="00BB6BDF" w:rsidRDefault="00D607E8" w:rsidP="00D607E8">
            <w:pPr>
              <w:jc w:val="both"/>
              <w:rPr>
                <w:sz w:val="24"/>
                <w:szCs w:val="24"/>
              </w:rPr>
            </w:pPr>
            <w:r w:rsidRPr="00BB6BDF">
              <w:rPr>
                <w:sz w:val="24"/>
                <w:szCs w:val="24"/>
              </w:rPr>
              <w:t>Количество</w:t>
            </w:r>
          </w:p>
        </w:tc>
        <w:tc>
          <w:tcPr>
            <w:tcW w:w="4678" w:type="dxa"/>
          </w:tcPr>
          <w:p w:rsidR="00D607E8" w:rsidRPr="00BB6BDF" w:rsidRDefault="00441D51" w:rsidP="00D607E8">
            <w:pPr>
              <w:jc w:val="both"/>
              <w:rPr>
                <w:sz w:val="24"/>
                <w:szCs w:val="24"/>
              </w:rPr>
            </w:pPr>
            <w:r w:rsidRPr="00BB6BDF">
              <w:rPr>
                <w:sz w:val="24"/>
                <w:szCs w:val="24"/>
              </w:rPr>
              <w:t>-</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6</w:t>
            </w:r>
          </w:p>
        </w:tc>
        <w:tc>
          <w:tcPr>
            <w:tcW w:w="4536" w:type="dxa"/>
          </w:tcPr>
          <w:p w:rsidR="00D607E8" w:rsidRPr="00BB6BDF" w:rsidRDefault="00D607E8" w:rsidP="00D607E8">
            <w:pPr>
              <w:jc w:val="both"/>
              <w:rPr>
                <w:sz w:val="24"/>
                <w:szCs w:val="24"/>
              </w:rPr>
            </w:pPr>
            <w:r w:rsidRPr="00BB6BDF">
              <w:rPr>
                <w:sz w:val="24"/>
                <w:szCs w:val="24"/>
              </w:rPr>
              <w:t>Категория для рассылки (ОКПД 2)</w:t>
            </w:r>
          </w:p>
        </w:tc>
        <w:tc>
          <w:tcPr>
            <w:tcW w:w="4678" w:type="dxa"/>
          </w:tcPr>
          <w:p w:rsidR="00D607E8" w:rsidRPr="00BB6BDF" w:rsidRDefault="00632F1E" w:rsidP="00FC3D0F">
            <w:pPr>
              <w:jc w:val="both"/>
              <w:rPr>
                <w:sz w:val="24"/>
                <w:szCs w:val="24"/>
              </w:rPr>
            </w:pPr>
            <w:r w:rsidRPr="00BB6BDF">
              <w:rPr>
                <w:sz w:val="24"/>
                <w:szCs w:val="24"/>
              </w:rPr>
              <w:t>31.0</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7</w:t>
            </w:r>
          </w:p>
        </w:tc>
        <w:tc>
          <w:tcPr>
            <w:tcW w:w="4536" w:type="dxa"/>
          </w:tcPr>
          <w:p w:rsidR="00D607E8" w:rsidRPr="00BB6BDF" w:rsidRDefault="00D607E8" w:rsidP="00D607E8">
            <w:pPr>
              <w:jc w:val="both"/>
              <w:rPr>
                <w:sz w:val="24"/>
                <w:szCs w:val="24"/>
              </w:rPr>
            </w:pPr>
            <w:r w:rsidRPr="00BB6BDF">
              <w:rPr>
                <w:sz w:val="24"/>
                <w:szCs w:val="24"/>
              </w:rPr>
              <w:t>Краткое описание продукции/услуг/работ</w:t>
            </w:r>
          </w:p>
        </w:tc>
        <w:tc>
          <w:tcPr>
            <w:tcW w:w="4678" w:type="dxa"/>
          </w:tcPr>
          <w:p w:rsidR="00D607E8" w:rsidRPr="00BB6BDF" w:rsidRDefault="004F73F6" w:rsidP="00FC3D0F">
            <w:pPr>
              <w:jc w:val="both"/>
              <w:rPr>
                <w:sz w:val="24"/>
                <w:szCs w:val="24"/>
              </w:rPr>
            </w:pPr>
            <w:r w:rsidRPr="00BB6BDF">
              <w:rPr>
                <w:sz w:val="24"/>
                <w:szCs w:val="24"/>
              </w:rPr>
              <w:t>оказание услуг по поставке и выполнение работ по ремонту брендовой и офисной мебели</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8</w:t>
            </w:r>
          </w:p>
        </w:tc>
        <w:tc>
          <w:tcPr>
            <w:tcW w:w="4536" w:type="dxa"/>
          </w:tcPr>
          <w:p w:rsidR="00D607E8" w:rsidRPr="00BB6BDF" w:rsidRDefault="00D607E8" w:rsidP="00D607E8">
            <w:pPr>
              <w:jc w:val="both"/>
              <w:rPr>
                <w:sz w:val="24"/>
                <w:szCs w:val="24"/>
              </w:rPr>
            </w:pPr>
            <w:r w:rsidRPr="00BB6BDF">
              <w:rPr>
                <w:sz w:val="24"/>
                <w:szCs w:val="24"/>
              </w:rPr>
              <w:t xml:space="preserve">Регион поставки </w:t>
            </w:r>
          </w:p>
        </w:tc>
        <w:tc>
          <w:tcPr>
            <w:tcW w:w="4678" w:type="dxa"/>
          </w:tcPr>
          <w:p w:rsidR="00D607E8" w:rsidRPr="00BB6BDF" w:rsidRDefault="00632F1E" w:rsidP="00D607E8">
            <w:pPr>
              <w:jc w:val="both"/>
              <w:rPr>
                <w:sz w:val="24"/>
                <w:szCs w:val="24"/>
              </w:rPr>
            </w:pPr>
            <w:r w:rsidRPr="00BB6BDF">
              <w:rPr>
                <w:sz w:val="24"/>
                <w:szCs w:val="24"/>
              </w:rPr>
              <w:t>Территория РФ</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9</w:t>
            </w:r>
          </w:p>
        </w:tc>
        <w:tc>
          <w:tcPr>
            <w:tcW w:w="4536" w:type="dxa"/>
          </w:tcPr>
          <w:p w:rsidR="00D607E8" w:rsidRPr="00BB6BDF" w:rsidRDefault="00D607E8" w:rsidP="00D607E8">
            <w:pPr>
              <w:jc w:val="both"/>
              <w:rPr>
                <w:sz w:val="24"/>
                <w:szCs w:val="24"/>
              </w:rPr>
            </w:pPr>
            <w:r w:rsidRPr="00BB6BDF">
              <w:rPr>
                <w:sz w:val="24"/>
                <w:szCs w:val="24"/>
              </w:rPr>
              <w:t>Условия оплаты</w:t>
            </w:r>
          </w:p>
        </w:tc>
        <w:tc>
          <w:tcPr>
            <w:tcW w:w="4678" w:type="dxa"/>
          </w:tcPr>
          <w:p w:rsidR="00D607E8" w:rsidRPr="00BB6BDF" w:rsidRDefault="00632F1E" w:rsidP="00D607E8">
            <w:pPr>
              <w:pStyle w:val="af5"/>
              <w:spacing w:after="0"/>
              <w:ind w:left="0"/>
              <w:jc w:val="both"/>
              <w:rPr>
                <w:rFonts w:ascii="Times New Roman" w:hAnsi="Times New Roman"/>
                <w:sz w:val="24"/>
                <w:szCs w:val="24"/>
                <w:lang w:val="ru-RU"/>
              </w:rPr>
            </w:pPr>
            <w:r w:rsidRPr="00BB6BDF">
              <w:rPr>
                <w:rFonts w:ascii="Times New Roman" w:hAnsi="Times New Roman"/>
                <w:sz w:val="24"/>
                <w:szCs w:val="24"/>
                <w:lang w:val="ru-RU"/>
              </w:rPr>
              <w:t>Оплата Продукции, поставленной по Заявкам Покупателя производится в течение 30 (тридцати) рабочих дней с даты получения Покупателем счета на оплату</w:t>
            </w:r>
          </w:p>
        </w:tc>
      </w:tr>
      <w:tr w:rsidR="00BB6BDF" w:rsidRPr="00BB6BDF" w:rsidTr="005B7481">
        <w:tc>
          <w:tcPr>
            <w:tcW w:w="562" w:type="dxa"/>
            <w:vAlign w:val="center"/>
          </w:tcPr>
          <w:p w:rsidR="00D607E8" w:rsidRPr="00BB6BDF" w:rsidRDefault="00D607E8" w:rsidP="00D607E8">
            <w:pPr>
              <w:ind w:left="-120"/>
              <w:jc w:val="center"/>
              <w:rPr>
                <w:sz w:val="24"/>
                <w:szCs w:val="24"/>
              </w:rPr>
            </w:pPr>
            <w:r w:rsidRPr="00BB6BDF">
              <w:rPr>
                <w:sz w:val="24"/>
                <w:szCs w:val="24"/>
              </w:rPr>
              <w:t>10</w:t>
            </w:r>
          </w:p>
        </w:tc>
        <w:tc>
          <w:tcPr>
            <w:tcW w:w="4536" w:type="dxa"/>
          </w:tcPr>
          <w:p w:rsidR="00D607E8" w:rsidRPr="00A4386E" w:rsidRDefault="00D607E8" w:rsidP="00D607E8">
            <w:pPr>
              <w:jc w:val="both"/>
              <w:rPr>
                <w:sz w:val="24"/>
                <w:szCs w:val="24"/>
              </w:rPr>
            </w:pPr>
            <w:r w:rsidRPr="00BB6BDF">
              <w:rPr>
                <w:sz w:val="24"/>
                <w:szCs w:val="24"/>
              </w:rPr>
              <w:t>Условия поставки</w:t>
            </w:r>
            <w:r w:rsidR="00A4386E">
              <w:rPr>
                <w:sz w:val="24"/>
                <w:szCs w:val="24"/>
                <w:lang w:val="en-US"/>
              </w:rPr>
              <w:t xml:space="preserve"> (</w:t>
            </w:r>
            <w:r w:rsidR="00A4386E">
              <w:rPr>
                <w:sz w:val="24"/>
                <w:szCs w:val="24"/>
              </w:rPr>
              <w:t>ориентировочные сроки)</w:t>
            </w:r>
            <w:bookmarkStart w:id="1" w:name="_GoBack"/>
            <w:bookmarkEnd w:id="1"/>
          </w:p>
        </w:tc>
        <w:tc>
          <w:tcPr>
            <w:tcW w:w="4678" w:type="dxa"/>
          </w:tcPr>
          <w:p w:rsidR="00632F1E" w:rsidRPr="00BB6BDF" w:rsidRDefault="00632F1E" w:rsidP="00632F1E">
            <w:pPr>
              <w:pStyle w:val="afe"/>
              <w:spacing w:after="20"/>
              <w:jc w:val="both"/>
              <w:rPr>
                <w:sz w:val="24"/>
                <w:szCs w:val="24"/>
              </w:rPr>
            </w:pPr>
            <w:r w:rsidRPr="00BB6BDF">
              <w:rPr>
                <w:sz w:val="24"/>
                <w:szCs w:val="24"/>
              </w:rPr>
              <w:t>- в г. Москве - не более 2 (двух) рабочих дней;</w:t>
            </w:r>
          </w:p>
          <w:p w:rsidR="00632F1E" w:rsidRPr="00BB6BDF" w:rsidRDefault="00632F1E" w:rsidP="00632F1E">
            <w:pPr>
              <w:pStyle w:val="afe"/>
              <w:spacing w:after="20"/>
              <w:jc w:val="both"/>
              <w:rPr>
                <w:sz w:val="24"/>
                <w:szCs w:val="24"/>
              </w:rPr>
            </w:pPr>
            <w:r w:rsidRPr="00BB6BDF">
              <w:rPr>
                <w:sz w:val="24"/>
                <w:szCs w:val="24"/>
              </w:rPr>
              <w:t>- в Московской области - не более 3 (трех) рабочих дней;</w:t>
            </w:r>
          </w:p>
          <w:p w:rsidR="00632F1E" w:rsidRPr="00BB6BDF" w:rsidRDefault="00632F1E" w:rsidP="00632F1E">
            <w:pPr>
              <w:pStyle w:val="afe"/>
              <w:spacing w:after="20"/>
              <w:jc w:val="both"/>
              <w:rPr>
                <w:sz w:val="24"/>
                <w:szCs w:val="24"/>
              </w:rPr>
            </w:pPr>
            <w:r w:rsidRPr="00BB6BDF">
              <w:rPr>
                <w:sz w:val="24"/>
                <w:szCs w:val="24"/>
              </w:rPr>
              <w:t xml:space="preserve">- в Центральном федеральном округе (за исключением Москвы и Московской </w:t>
            </w:r>
            <w:r w:rsidRPr="00BB6BDF">
              <w:rPr>
                <w:sz w:val="24"/>
                <w:szCs w:val="24"/>
              </w:rPr>
              <w:lastRenderedPageBreak/>
              <w:t xml:space="preserve">области) - не более </w:t>
            </w:r>
            <w:r w:rsidR="00073949" w:rsidRPr="00BB6BDF">
              <w:rPr>
                <w:sz w:val="24"/>
                <w:szCs w:val="24"/>
              </w:rPr>
              <w:t>8</w:t>
            </w:r>
            <w:r w:rsidRPr="00BB6BDF">
              <w:rPr>
                <w:sz w:val="24"/>
                <w:szCs w:val="24"/>
              </w:rPr>
              <w:t xml:space="preserve"> (</w:t>
            </w:r>
            <w:r w:rsidR="00073949" w:rsidRPr="00BB6BDF">
              <w:rPr>
                <w:sz w:val="24"/>
                <w:szCs w:val="24"/>
              </w:rPr>
              <w:t>восьми</w:t>
            </w:r>
            <w:r w:rsidRPr="00BB6BDF">
              <w:rPr>
                <w:sz w:val="24"/>
                <w:szCs w:val="24"/>
              </w:rPr>
              <w:t>) рабочих дней;</w:t>
            </w:r>
          </w:p>
          <w:p w:rsidR="00632F1E" w:rsidRPr="00BB6BDF" w:rsidRDefault="00632F1E" w:rsidP="00632F1E">
            <w:pPr>
              <w:pStyle w:val="afe"/>
              <w:spacing w:after="20"/>
              <w:jc w:val="both"/>
              <w:rPr>
                <w:sz w:val="24"/>
                <w:szCs w:val="24"/>
              </w:rPr>
            </w:pPr>
            <w:r w:rsidRPr="00BB6BDF">
              <w:rPr>
                <w:sz w:val="24"/>
                <w:szCs w:val="24"/>
              </w:rPr>
              <w:t xml:space="preserve">- в Северо-Западном федеральном округе - не более </w:t>
            </w:r>
            <w:r w:rsidR="00073949" w:rsidRPr="00BB6BDF">
              <w:rPr>
                <w:sz w:val="24"/>
                <w:szCs w:val="24"/>
              </w:rPr>
              <w:t>8</w:t>
            </w:r>
            <w:r w:rsidRPr="00BB6BDF">
              <w:rPr>
                <w:sz w:val="24"/>
                <w:szCs w:val="24"/>
              </w:rPr>
              <w:t xml:space="preserve"> (</w:t>
            </w:r>
            <w:r w:rsidR="00073949" w:rsidRPr="00BB6BDF">
              <w:rPr>
                <w:sz w:val="24"/>
                <w:szCs w:val="24"/>
              </w:rPr>
              <w:t>восьми</w:t>
            </w:r>
            <w:r w:rsidRPr="00BB6BDF">
              <w:rPr>
                <w:sz w:val="24"/>
                <w:szCs w:val="24"/>
              </w:rPr>
              <w:t>) рабочих дней;</w:t>
            </w:r>
          </w:p>
          <w:p w:rsidR="00632F1E" w:rsidRPr="00BB6BDF" w:rsidRDefault="00632F1E" w:rsidP="00632F1E">
            <w:pPr>
              <w:pStyle w:val="afe"/>
              <w:spacing w:after="20"/>
              <w:jc w:val="both"/>
              <w:rPr>
                <w:sz w:val="24"/>
                <w:szCs w:val="24"/>
              </w:rPr>
            </w:pPr>
            <w:r w:rsidRPr="00BB6BDF">
              <w:rPr>
                <w:sz w:val="24"/>
                <w:szCs w:val="24"/>
              </w:rPr>
              <w:t>- в Приволжском федеральном округе - не более 10 (десяти) рабочих дней;</w:t>
            </w:r>
          </w:p>
          <w:p w:rsidR="00632F1E" w:rsidRPr="00BB6BDF" w:rsidRDefault="00632F1E" w:rsidP="00632F1E">
            <w:pPr>
              <w:pStyle w:val="afe"/>
              <w:spacing w:after="20"/>
              <w:jc w:val="both"/>
              <w:rPr>
                <w:sz w:val="24"/>
                <w:szCs w:val="24"/>
              </w:rPr>
            </w:pPr>
            <w:r w:rsidRPr="00BB6BDF">
              <w:rPr>
                <w:sz w:val="24"/>
                <w:szCs w:val="24"/>
              </w:rPr>
              <w:t xml:space="preserve">- в Южном федеральном округе - не более </w:t>
            </w:r>
            <w:r w:rsidR="00073949" w:rsidRPr="00BB6BDF">
              <w:rPr>
                <w:sz w:val="24"/>
                <w:szCs w:val="24"/>
              </w:rPr>
              <w:t>10</w:t>
            </w:r>
            <w:r w:rsidRPr="00BB6BDF">
              <w:rPr>
                <w:sz w:val="24"/>
                <w:szCs w:val="24"/>
              </w:rPr>
              <w:t xml:space="preserve"> (</w:t>
            </w:r>
            <w:r w:rsidR="00073949" w:rsidRPr="00BB6BDF">
              <w:rPr>
                <w:sz w:val="24"/>
                <w:szCs w:val="24"/>
              </w:rPr>
              <w:t>десяти</w:t>
            </w:r>
            <w:r w:rsidRPr="00BB6BDF">
              <w:rPr>
                <w:sz w:val="24"/>
                <w:szCs w:val="24"/>
              </w:rPr>
              <w:t>) рабочих дней;</w:t>
            </w:r>
          </w:p>
          <w:p w:rsidR="00632F1E" w:rsidRPr="00BB6BDF" w:rsidRDefault="00632F1E" w:rsidP="00632F1E">
            <w:pPr>
              <w:pStyle w:val="afe"/>
              <w:spacing w:after="20"/>
              <w:jc w:val="both"/>
              <w:rPr>
                <w:sz w:val="24"/>
                <w:szCs w:val="24"/>
              </w:rPr>
            </w:pPr>
            <w:r w:rsidRPr="00BB6BDF">
              <w:rPr>
                <w:sz w:val="24"/>
                <w:szCs w:val="24"/>
              </w:rPr>
              <w:t xml:space="preserve">- в </w:t>
            </w:r>
            <w:proofErr w:type="gramStart"/>
            <w:r w:rsidRPr="00BB6BDF">
              <w:rPr>
                <w:sz w:val="24"/>
                <w:szCs w:val="24"/>
              </w:rPr>
              <w:t>Северо-Кавказском</w:t>
            </w:r>
            <w:proofErr w:type="gramEnd"/>
            <w:r w:rsidRPr="00BB6BDF">
              <w:rPr>
                <w:sz w:val="24"/>
                <w:szCs w:val="24"/>
              </w:rPr>
              <w:t xml:space="preserve"> федеральном округе - не более </w:t>
            </w:r>
            <w:r w:rsidR="00073949" w:rsidRPr="00BB6BDF">
              <w:rPr>
                <w:sz w:val="24"/>
                <w:szCs w:val="24"/>
              </w:rPr>
              <w:t>10</w:t>
            </w:r>
            <w:r w:rsidRPr="00BB6BDF">
              <w:rPr>
                <w:sz w:val="24"/>
                <w:szCs w:val="24"/>
              </w:rPr>
              <w:t xml:space="preserve"> (</w:t>
            </w:r>
            <w:r w:rsidR="00073949" w:rsidRPr="00BB6BDF">
              <w:rPr>
                <w:sz w:val="24"/>
                <w:szCs w:val="24"/>
              </w:rPr>
              <w:t>десяти</w:t>
            </w:r>
            <w:r w:rsidRPr="00BB6BDF">
              <w:rPr>
                <w:sz w:val="24"/>
                <w:szCs w:val="24"/>
              </w:rPr>
              <w:t>) рабочих дней;</w:t>
            </w:r>
          </w:p>
          <w:p w:rsidR="00632F1E" w:rsidRPr="00BB6BDF" w:rsidRDefault="00632F1E" w:rsidP="00632F1E">
            <w:pPr>
              <w:pStyle w:val="afe"/>
              <w:spacing w:after="20"/>
              <w:jc w:val="both"/>
              <w:rPr>
                <w:sz w:val="24"/>
                <w:szCs w:val="24"/>
              </w:rPr>
            </w:pPr>
            <w:r w:rsidRPr="00BB6BDF">
              <w:rPr>
                <w:sz w:val="24"/>
                <w:szCs w:val="24"/>
              </w:rPr>
              <w:t>- в Уральском федеральном округе - не более 1</w:t>
            </w:r>
            <w:r w:rsidR="00073949" w:rsidRPr="00BB6BDF">
              <w:rPr>
                <w:sz w:val="24"/>
                <w:szCs w:val="24"/>
              </w:rPr>
              <w:t>4</w:t>
            </w:r>
            <w:r w:rsidRPr="00BB6BDF">
              <w:rPr>
                <w:sz w:val="24"/>
                <w:szCs w:val="24"/>
              </w:rPr>
              <w:t xml:space="preserve"> (</w:t>
            </w:r>
            <w:r w:rsidR="00073949" w:rsidRPr="00BB6BDF">
              <w:rPr>
                <w:sz w:val="24"/>
                <w:szCs w:val="24"/>
              </w:rPr>
              <w:t>четырнадцати</w:t>
            </w:r>
            <w:r w:rsidRPr="00BB6BDF">
              <w:rPr>
                <w:sz w:val="24"/>
                <w:szCs w:val="24"/>
              </w:rPr>
              <w:t>) рабочих дней;</w:t>
            </w:r>
          </w:p>
          <w:p w:rsidR="00632F1E" w:rsidRPr="00BB6BDF" w:rsidRDefault="00632F1E" w:rsidP="00632F1E">
            <w:pPr>
              <w:pStyle w:val="afe"/>
              <w:spacing w:after="20"/>
              <w:jc w:val="both"/>
              <w:rPr>
                <w:sz w:val="24"/>
                <w:szCs w:val="24"/>
              </w:rPr>
            </w:pPr>
            <w:r w:rsidRPr="00BB6BDF">
              <w:rPr>
                <w:sz w:val="24"/>
                <w:szCs w:val="24"/>
              </w:rPr>
              <w:t>- в Сибирском федеральном округе - не более 1</w:t>
            </w:r>
            <w:r w:rsidR="00073949" w:rsidRPr="00BB6BDF">
              <w:rPr>
                <w:sz w:val="24"/>
                <w:szCs w:val="24"/>
              </w:rPr>
              <w:t>4</w:t>
            </w:r>
            <w:r w:rsidRPr="00BB6BDF">
              <w:rPr>
                <w:sz w:val="24"/>
                <w:szCs w:val="24"/>
              </w:rPr>
              <w:t xml:space="preserve"> (</w:t>
            </w:r>
            <w:r w:rsidR="00073949" w:rsidRPr="00BB6BDF">
              <w:rPr>
                <w:sz w:val="24"/>
                <w:szCs w:val="24"/>
              </w:rPr>
              <w:t>четырнадцати</w:t>
            </w:r>
            <w:r w:rsidRPr="00BB6BDF">
              <w:rPr>
                <w:sz w:val="24"/>
                <w:szCs w:val="24"/>
              </w:rPr>
              <w:t>) рабочих дней;</w:t>
            </w:r>
          </w:p>
          <w:p w:rsidR="00632F1E" w:rsidRPr="00BB6BDF" w:rsidRDefault="00632F1E" w:rsidP="00632F1E">
            <w:pPr>
              <w:pStyle w:val="afe"/>
              <w:spacing w:after="20"/>
              <w:jc w:val="both"/>
              <w:rPr>
                <w:sz w:val="24"/>
                <w:szCs w:val="24"/>
              </w:rPr>
            </w:pPr>
            <w:r w:rsidRPr="00BB6BDF">
              <w:rPr>
                <w:sz w:val="24"/>
                <w:szCs w:val="24"/>
              </w:rPr>
              <w:t xml:space="preserve">- в Дальневосточном федеральном округе - не более </w:t>
            </w:r>
            <w:r w:rsidR="00073949" w:rsidRPr="00BB6BDF">
              <w:rPr>
                <w:sz w:val="24"/>
                <w:szCs w:val="24"/>
              </w:rPr>
              <w:t>25</w:t>
            </w:r>
            <w:r w:rsidRPr="00BB6BDF">
              <w:rPr>
                <w:sz w:val="24"/>
                <w:szCs w:val="24"/>
              </w:rPr>
              <w:t xml:space="preserve"> (</w:t>
            </w:r>
            <w:r w:rsidR="00073949" w:rsidRPr="00BB6BDF">
              <w:rPr>
                <w:sz w:val="24"/>
                <w:szCs w:val="24"/>
              </w:rPr>
              <w:t>двадцати пяти</w:t>
            </w:r>
            <w:r w:rsidRPr="00BB6BDF">
              <w:rPr>
                <w:sz w:val="24"/>
                <w:szCs w:val="24"/>
              </w:rPr>
              <w:t>) рабочих дней.</w:t>
            </w:r>
          </w:p>
          <w:p w:rsidR="00632F1E" w:rsidRPr="00BB6BDF" w:rsidRDefault="00632F1E" w:rsidP="00632F1E">
            <w:pPr>
              <w:pStyle w:val="afe"/>
              <w:spacing w:after="20"/>
              <w:jc w:val="both"/>
              <w:rPr>
                <w:sz w:val="24"/>
                <w:szCs w:val="24"/>
              </w:rPr>
            </w:pPr>
          </w:p>
          <w:p w:rsidR="00D607E8" w:rsidRPr="00BB6BDF" w:rsidRDefault="00632F1E" w:rsidP="00632F1E">
            <w:pPr>
              <w:jc w:val="both"/>
              <w:rPr>
                <w:sz w:val="24"/>
                <w:szCs w:val="24"/>
              </w:rPr>
            </w:pPr>
            <w:r w:rsidRPr="00BB6BDF">
              <w:rPr>
                <w:sz w:val="24"/>
                <w:szCs w:val="24"/>
              </w:rPr>
              <w:t>Сроки, указанные в настоящем пункте, рассчитываются с даты направления Покупателем по электронному адресу, подтверждения соответствия сформированных заказов по отправленным Заявкам ТМЦ</w:t>
            </w:r>
          </w:p>
        </w:tc>
      </w:tr>
      <w:tr w:rsidR="00BB6BDF" w:rsidRPr="00BB6BDF" w:rsidTr="005B7481">
        <w:tc>
          <w:tcPr>
            <w:tcW w:w="562" w:type="dxa"/>
            <w:vAlign w:val="center"/>
          </w:tcPr>
          <w:p w:rsidR="00D607E8" w:rsidRPr="00BB6BDF" w:rsidRDefault="00D607E8" w:rsidP="00D607E8">
            <w:pPr>
              <w:ind w:left="-120"/>
              <w:jc w:val="center"/>
              <w:rPr>
                <w:sz w:val="24"/>
                <w:szCs w:val="24"/>
                <w:lang w:val="en-US"/>
              </w:rPr>
            </w:pPr>
            <w:r w:rsidRPr="00BB6BDF">
              <w:rPr>
                <w:sz w:val="24"/>
                <w:szCs w:val="24"/>
                <w:lang w:val="en-US"/>
              </w:rPr>
              <w:lastRenderedPageBreak/>
              <w:t>11</w:t>
            </w:r>
          </w:p>
        </w:tc>
        <w:tc>
          <w:tcPr>
            <w:tcW w:w="4536" w:type="dxa"/>
          </w:tcPr>
          <w:p w:rsidR="00D607E8" w:rsidRPr="00BB6BDF" w:rsidRDefault="00B3684B" w:rsidP="004E54F5">
            <w:pPr>
              <w:jc w:val="both"/>
              <w:rPr>
                <w:sz w:val="24"/>
                <w:szCs w:val="24"/>
              </w:rPr>
            </w:pPr>
            <w:r w:rsidRPr="00BB6BDF">
              <w:rPr>
                <w:sz w:val="24"/>
                <w:szCs w:val="24"/>
              </w:rPr>
              <w:t>Ориентировочный срок исполнения</w:t>
            </w:r>
          </w:p>
        </w:tc>
        <w:tc>
          <w:tcPr>
            <w:tcW w:w="4678" w:type="dxa"/>
          </w:tcPr>
          <w:p w:rsidR="00D607E8" w:rsidRPr="00BB6BDF" w:rsidRDefault="00B3684B" w:rsidP="00B3684B">
            <w:pPr>
              <w:jc w:val="both"/>
              <w:rPr>
                <w:sz w:val="24"/>
                <w:szCs w:val="24"/>
              </w:rPr>
            </w:pPr>
            <w:r w:rsidRPr="00BB6BDF">
              <w:rPr>
                <w:sz w:val="24"/>
                <w:szCs w:val="24"/>
              </w:rPr>
              <w:t>в течение 2020 – 2021 гг.</w:t>
            </w:r>
          </w:p>
        </w:tc>
      </w:tr>
    </w:tbl>
    <w:bookmarkEnd w:id="0"/>
    <w:p w:rsidR="005F0FA0" w:rsidRPr="00BB6BDF" w:rsidRDefault="005F0FA0" w:rsidP="00660E3E">
      <w:pPr>
        <w:spacing w:before="0"/>
        <w:ind w:firstLine="851"/>
        <w:jc w:val="both"/>
        <w:rPr>
          <w:sz w:val="24"/>
          <w:szCs w:val="24"/>
        </w:rPr>
      </w:pPr>
      <w:r w:rsidRPr="00BB6BDF">
        <w:rPr>
          <w:sz w:val="24"/>
          <w:szCs w:val="24"/>
        </w:rPr>
        <w:t>Срок подачи Предложений: до</w:t>
      </w:r>
      <w:r w:rsidR="001C455F" w:rsidRPr="00BB6BDF">
        <w:rPr>
          <w:sz w:val="24"/>
          <w:szCs w:val="24"/>
        </w:rPr>
        <w:t xml:space="preserve"> </w:t>
      </w:r>
      <w:r w:rsidR="008F3E1B" w:rsidRPr="00BB6BDF">
        <w:rPr>
          <w:sz w:val="24"/>
          <w:szCs w:val="24"/>
        </w:rPr>
        <w:t>17</w:t>
      </w:r>
      <w:r w:rsidR="001C455F" w:rsidRPr="00BB6BDF">
        <w:rPr>
          <w:sz w:val="24"/>
          <w:szCs w:val="24"/>
        </w:rPr>
        <w:t>.</w:t>
      </w:r>
      <w:r w:rsidR="008F3E1B" w:rsidRPr="00BB6BDF">
        <w:rPr>
          <w:sz w:val="24"/>
          <w:szCs w:val="24"/>
        </w:rPr>
        <w:t>00</w:t>
      </w:r>
      <w:r w:rsidR="001C455F" w:rsidRPr="00BB6BDF">
        <w:rPr>
          <w:sz w:val="24"/>
          <w:szCs w:val="24"/>
        </w:rPr>
        <w:t xml:space="preserve"> (</w:t>
      </w:r>
      <w:proofErr w:type="spellStart"/>
      <w:r w:rsidR="001C455F" w:rsidRPr="00BB6BDF">
        <w:rPr>
          <w:sz w:val="24"/>
          <w:szCs w:val="24"/>
        </w:rPr>
        <w:t>Мск</w:t>
      </w:r>
      <w:proofErr w:type="spellEnd"/>
      <w:r w:rsidR="001C455F" w:rsidRPr="00BB6BDF">
        <w:rPr>
          <w:sz w:val="24"/>
          <w:szCs w:val="24"/>
        </w:rPr>
        <w:t>) «</w:t>
      </w:r>
      <w:r w:rsidR="008F3E1B" w:rsidRPr="00BB6BDF">
        <w:rPr>
          <w:sz w:val="24"/>
          <w:szCs w:val="24"/>
        </w:rPr>
        <w:t>10</w:t>
      </w:r>
      <w:r w:rsidR="00C76576" w:rsidRPr="00BB6BDF">
        <w:rPr>
          <w:sz w:val="24"/>
          <w:szCs w:val="24"/>
        </w:rPr>
        <w:t xml:space="preserve">» </w:t>
      </w:r>
      <w:r w:rsidR="004F73F6" w:rsidRPr="00BB6BDF">
        <w:rPr>
          <w:sz w:val="24"/>
          <w:szCs w:val="24"/>
        </w:rPr>
        <w:t>июня</w:t>
      </w:r>
      <w:r w:rsidR="00C76576" w:rsidRPr="00BB6BDF">
        <w:rPr>
          <w:sz w:val="24"/>
          <w:szCs w:val="24"/>
        </w:rPr>
        <w:t xml:space="preserve"> 201</w:t>
      </w:r>
      <w:r w:rsidR="00905241" w:rsidRPr="00BB6BDF">
        <w:rPr>
          <w:sz w:val="24"/>
          <w:szCs w:val="24"/>
        </w:rPr>
        <w:t>9</w:t>
      </w:r>
      <w:r w:rsidR="00C76576" w:rsidRPr="00BB6BDF">
        <w:rPr>
          <w:sz w:val="24"/>
          <w:szCs w:val="24"/>
        </w:rPr>
        <w:t xml:space="preserve"> года</w:t>
      </w:r>
      <w:r w:rsidRPr="00BB6BDF">
        <w:rPr>
          <w:sz w:val="24"/>
          <w:szCs w:val="24"/>
        </w:rPr>
        <w:t>.</w:t>
      </w:r>
    </w:p>
    <w:p w:rsidR="005F0FA0" w:rsidRPr="00BB6BDF" w:rsidRDefault="00F66DCE" w:rsidP="00F66DCE">
      <w:pPr>
        <w:spacing w:before="0"/>
        <w:ind w:firstLine="851"/>
        <w:rPr>
          <w:sz w:val="24"/>
          <w:szCs w:val="24"/>
        </w:rPr>
      </w:pPr>
      <w:r w:rsidRPr="00BB6BDF">
        <w:rPr>
          <w:sz w:val="24"/>
          <w:szCs w:val="24"/>
        </w:rPr>
        <w:t>Приложения</w:t>
      </w:r>
      <w:r w:rsidR="005F0FA0" w:rsidRPr="00BB6BDF">
        <w:rPr>
          <w:sz w:val="24"/>
          <w:szCs w:val="24"/>
        </w:rPr>
        <w:t>:</w:t>
      </w:r>
    </w:p>
    <w:p w:rsidR="00AE075B" w:rsidRPr="00BB6BDF" w:rsidRDefault="00AE075B" w:rsidP="008A1067">
      <w:pPr>
        <w:pStyle w:val="ab"/>
        <w:numPr>
          <w:ilvl w:val="0"/>
          <w:numId w:val="9"/>
        </w:numPr>
        <w:spacing w:before="0"/>
        <w:ind w:firstLine="851"/>
        <w:contextualSpacing w:val="0"/>
        <w:jc w:val="both"/>
        <w:rPr>
          <w:sz w:val="24"/>
          <w:szCs w:val="24"/>
        </w:rPr>
      </w:pPr>
      <w:r w:rsidRPr="00BB6BDF">
        <w:rPr>
          <w:sz w:val="24"/>
          <w:szCs w:val="24"/>
        </w:rPr>
        <w:t>Приложение №</w:t>
      </w:r>
      <w:r w:rsidR="00A14287" w:rsidRPr="00BB6BDF">
        <w:rPr>
          <w:sz w:val="24"/>
          <w:szCs w:val="24"/>
        </w:rPr>
        <w:t>1</w:t>
      </w:r>
      <w:r w:rsidRPr="00BB6BDF">
        <w:rPr>
          <w:sz w:val="24"/>
          <w:szCs w:val="24"/>
        </w:rPr>
        <w:t xml:space="preserve"> – Форма коммерческого предложения</w:t>
      </w:r>
      <w:r w:rsidR="00C16D66" w:rsidRPr="00BB6BDF">
        <w:rPr>
          <w:sz w:val="24"/>
          <w:szCs w:val="24"/>
        </w:rPr>
        <w:t>;</w:t>
      </w:r>
    </w:p>
    <w:p w:rsidR="00895871" w:rsidRPr="00BB6BDF" w:rsidRDefault="00895871" w:rsidP="00524C8B">
      <w:pPr>
        <w:pStyle w:val="ab"/>
        <w:numPr>
          <w:ilvl w:val="0"/>
          <w:numId w:val="9"/>
        </w:numPr>
        <w:spacing w:before="0"/>
        <w:ind w:firstLine="851"/>
        <w:contextualSpacing w:val="0"/>
        <w:jc w:val="both"/>
        <w:rPr>
          <w:sz w:val="24"/>
          <w:szCs w:val="24"/>
        </w:rPr>
      </w:pPr>
      <w:r w:rsidRPr="00BB6BDF">
        <w:rPr>
          <w:sz w:val="24"/>
          <w:szCs w:val="24"/>
        </w:rPr>
        <w:t>Приложение №</w:t>
      </w:r>
      <w:r w:rsidR="007812F2" w:rsidRPr="00BB6BDF">
        <w:rPr>
          <w:sz w:val="24"/>
          <w:szCs w:val="24"/>
        </w:rPr>
        <w:t>2</w:t>
      </w:r>
      <w:r w:rsidRPr="00BB6BDF">
        <w:rPr>
          <w:sz w:val="24"/>
          <w:szCs w:val="24"/>
        </w:rPr>
        <w:t xml:space="preserve"> – Техническое задание</w:t>
      </w:r>
    </w:p>
    <w:p w:rsidR="004F73F6" w:rsidRPr="00BB6BDF" w:rsidRDefault="004F73F6" w:rsidP="004F73F6">
      <w:pPr>
        <w:pStyle w:val="ab"/>
        <w:spacing w:before="0"/>
        <w:ind w:left="1571"/>
        <w:contextualSpacing w:val="0"/>
        <w:jc w:val="both"/>
        <w:rPr>
          <w:sz w:val="24"/>
          <w:szCs w:val="24"/>
        </w:rPr>
      </w:pPr>
    </w:p>
    <w:p w:rsidR="005F0FA0" w:rsidRPr="00BB6BDF" w:rsidRDefault="00BA3769" w:rsidP="00523001">
      <w:pPr>
        <w:spacing w:before="120"/>
        <w:jc w:val="both"/>
        <w:rPr>
          <w:sz w:val="24"/>
          <w:szCs w:val="24"/>
        </w:rPr>
      </w:pPr>
      <w:r w:rsidRPr="00BB6BDF">
        <w:rPr>
          <w:sz w:val="24"/>
          <w:szCs w:val="24"/>
        </w:rPr>
        <w:t xml:space="preserve"> </w:t>
      </w:r>
      <w:r w:rsidR="005F0FA0" w:rsidRPr="00BB6BDF">
        <w:rPr>
          <w:sz w:val="24"/>
          <w:szCs w:val="24"/>
        </w:rPr>
        <w:t>С уважением,</w:t>
      </w:r>
      <w:r w:rsidR="006F1174" w:rsidRPr="00BB6BDF">
        <w:rPr>
          <w:sz w:val="24"/>
          <w:szCs w:val="24"/>
        </w:rPr>
        <w:t xml:space="preserve"> ПАО «Почта Банк»</w:t>
      </w:r>
    </w:p>
    <w:p w:rsidR="006D6BFD" w:rsidRPr="00BB6BDF" w:rsidRDefault="00811FF3" w:rsidP="00660E3E">
      <w:pPr>
        <w:spacing w:before="0"/>
        <w:jc w:val="both"/>
        <w:rPr>
          <w:sz w:val="24"/>
          <w:szCs w:val="24"/>
          <w:vertAlign w:val="superscript"/>
        </w:rPr>
      </w:pPr>
      <w:r w:rsidRPr="00BB6BDF">
        <w:rPr>
          <w:sz w:val="24"/>
          <w:szCs w:val="24"/>
          <w:vertAlign w:val="superscript"/>
        </w:rPr>
        <w:t>Исполнитель:</w:t>
      </w:r>
      <w:r w:rsidR="001C455F" w:rsidRPr="00BB6BDF">
        <w:rPr>
          <w:sz w:val="24"/>
          <w:szCs w:val="24"/>
          <w:vertAlign w:val="superscript"/>
        </w:rPr>
        <w:t xml:space="preserve"> </w:t>
      </w:r>
      <w:r w:rsidR="004A3D2C" w:rsidRPr="00BB6BDF">
        <w:rPr>
          <w:sz w:val="24"/>
          <w:szCs w:val="24"/>
          <w:vertAlign w:val="superscript"/>
        </w:rPr>
        <w:t>А.</w:t>
      </w:r>
      <w:r w:rsidR="007812F2" w:rsidRPr="00BB6BDF">
        <w:rPr>
          <w:sz w:val="24"/>
          <w:szCs w:val="24"/>
          <w:vertAlign w:val="superscript"/>
        </w:rPr>
        <w:t>А</w:t>
      </w:r>
      <w:r w:rsidR="004A3D2C" w:rsidRPr="00BB6BDF">
        <w:rPr>
          <w:sz w:val="24"/>
          <w:szCs w:val="24"/>
          <w:vertAlign w:val="superscript"/>
        </w:rPr>
        <w:t xml:space="preserve">. </w:t>
      </w:r>
      <w:r w:rsidR="007812F2" w:rsidRPr="00BB6BDF">
        <w:rPr>
          <w:sz w:val="24"/>
          <w:szCs w:val="24"/>
          <w:vertAlign w:val="superscript"/>
        </w:rPr>
        <w:t>Дюкин</w:t>
      </w:r>
      <w:r w:rsidR="004F7848" w:rsidRPr="00BB6BDF">
        <w:rPr>
          <w:sz w:val="24"/>
          <w:szCs w:val="24"/>
          <w:vertAlign w:val="superscript"/>
        </w:rPr>
        <w:t xml:space="preserve"> </w:t>
      </w:r>
      <w:r w:rsidR="006F1174" w:rsidRPr="00BB6BDF">
        <w:rPr>
          <w:sz w:val="24"/>
          <w:szCs w:val="24"/>
          <w:vertAlign w:val="superscript"/>
        </w:rPr>
        <w:t>+7(495)</w:t>
      </w:r>
      <w:r w:rsidR="00732BA2" w:rsidRPr="00BB6BDF">
        <w:rPr>
          <w:sz w:val="24"/>
          <w:szCs w:val="24"/>
          <w:vertAlign w:val="superscript"/>
        </w:rPr>
        <w:t xml:space="preserve"> </w:t>
      </w:r>
      <w:r w:rsidR="006F1174" w:rsidRPr="00BB6BDF">
        <w:rPr>
          <w:sz w:val="24"/>
          <w:szCs w:val="24"/>
          <w:vertAlign w:val="superscript"/>
        </w:rPr>
        <w:t>646-58</w:t>
      </w:r>
      <w:r w:rsidR="00523001" w:rsidRPr="00BB6BDF">
        <w:rPr>
          <w:sz w:val="24"/>
          <w:szCs w:val="24"/>
          <w:vertAlign w:val="superscript"/>
        </w:rPr>
        <w:t>-</w:t>
      </w:r>
      <w:r w:rsidR="004A3D2C" w:rsidRPr="00BB6BDF">
        <w:rPr>
          <w:sz w:val="24"/>
          <w:szCs w:val="24"/>
          <w:vertAlign w:val="superscript"/>
        </w:rPr>
        <w:t>14 (доб.</w:t>
      </w:r>
      <w:r w:rsidR="007812F2" w:rsidRPr="00BB6BDF">
        <w:rPr>
          <w:sz w:val="24"/>
          <w:szCs w:val="24"/>
          <w:vertAlign w:val="superscript"/>
        </w:rPr>
        <w:t>1040</w:t>
      </w:r>
      <w:r w:rsidR="008A1067" w:rsidRPr="00BB6BDF">
        <w:rPr>
          <w:sz w:val="24"/>
          <w:szCs w:val="24"/>
          <w:vertAlign w:val="superscript"/>
        </w:rPr>
        <w:t>)</w:t>
      </w:r>
    </w:p>
    <w:p w:rsidR="00441D51" w:rsidRPr="00BB6BDF" w:rsidRDefault="00441D51">
      <w:pPr>
        <w:rPr>
          <w:b/>
          <w:bCs/>
          <w:iCs/>
          <w:sz w:val="24"/>
          <w:szCs w:val="24"/>
          <w:lang w:eastAsia="ru-RU"/>
        </w:rPr>
      </w:pPr>
      <w:r w:rsidRPr="00BB6BDF">
        <w:rPr>
          <w:b/>
          <w:iCs/>
          <w:szCs w:val="24"/>
        </w:rPr>
        <w:br w:type="page"/>
      </w:r>
    </w:p>
    <w:p w:rsidR="00025B41" w:rsidRPr="00BB6BDF" w:rsidRDefault="00025B41" w:rsidP="00025B41">
      <w:pPr>
        <w:pStyle w:val="Times12"/>
        <w:ind w:left="5103" w:firstLine="0"/>
        <w:jc w:val="right"/>
        <w:rPr>
          <w:b/>
          <w:iCs/>
          <w:szCs w:val="24"/>
        </w:rPr>
      </w:pPr>
      <w:r w:rsidRPr="00BB6BDF">
        <w:rPr>
          <w:b/>
          <w:iCs/>
          <w:szCs w:val="24"/>
        </w:rPr>
        <w:lastRenderedPageBreak/>
        <w:t>Приложение № 1</w:t>
      </w:r>
    </w:p>
    <w:p w:rsidR="00025B41" w:rsidRPr="00BB6BDF" w:rsidRDefault="00025B41" w:rsidP="00025B41">
      <w:pPr>
        <w:ind w:left="360" w:right="281"/>
        <w:contextualSpacing/>
        <w:jc w:val="center"/>
        <w:rPr>
          <w:rFonts w:eastAsia="Calibri"/>
          <w:b/>
        </w:rPr>
      </w:pPr>
    </w:p>
    <w:p w:rsidR="00025B41" w:rsidRPr="00BB6BDF" w:rsidRDefault="00025B41" w:rsidP="00025B41">
      <w:pPr>
        <w:ind w:left="360" w:right="281"/>
        <w:contextualSpacing/>
        <w:jc w:val="center"/>
        <w:rPr>
          <w:rFonts w:eastAsia="Calibri"/>
          <w:b/>
        </w:rPr>
      </w:pPr>
      <w:r w:rsidRPr="00BB6BDF">
        <w:rPr>
          <w:rFonts w:eastAsia="Calibri"/>
          <w:b/>
        </w:rPr>
        <w:t>Коммерческое предложение</w:t>
      </w:r>
    </w:p>
    <w:p w:rsidR="00FC3D0F" w:rsidRPr="00BB6BDF" w:rsidRDefault="00FC3D0F" w:rsidP="00025B41">
      <w:pPr>
        <w:ind w:left="360" w:right="281"/>
        <w:contextualSpacing/>
        <w:jc w:val="center"/>
        <w:rPr>
          <w:rFonts w:eastAsia="Calibri"/>
          <w:b/>
        </w:rPr>
      </w:pPr>
    </w:p>
    <w:p w:rsidR="008F6941" w:rsidRPr="00BB6BDF" w:rsidRDefault="008F6941" w:rsidP="008F6941">
      <w:pPr>
        <w:spacing w:line="360" w:lineRule="auto"/>
        <w:ind w:firstLine="426"/>
        <w:jc w:val="both"/>
        <w:rPr>
          <w:rFonts w:eastAsia="Calibri"/>
        </w:rPr>
      </w:pPr>
      <w:r w:rsidRPr="00BB6BDF">
        <w:t xml:space="preserve">Настоящим выражаем готовность </w:t>
      </w:r>
      <w:r w:rsidR="003F26FF" w:rsidRPr="00BB6BDF">
        <w:rPr>
          <w:sz w:val="24"/>
          <w:szCs w:val="24"/>
        </w:rPr>
        <w:t>оказывать услуги по поставке и выполнение работ по ремонту брендовой и офисной мебели</w:t>
      </w:r>
      <w:r w:rsidRPr="00BB6BDF">
        <w:t xml:space="preserve"> строго </w:t>
      </w:r>
      <w:r w:rsidR="003F26FF" w:rsidRPr="00BB6BDF">
        <w:t xml:space="preserve">в соответствии с требованиями и </w:t>
      </w:r>
      <w:r w:rsidRPr="00BB6BDF">
        <w:t xml:space="preserve">условиями, установленными в Информационном сообщении о проведении процедуры </w:t>
      </w:r>
      <w:r w:rsidR="007812F2" w:rsidRPr="00BB6BDF">
        <w:t>сбор КП</w:t>
      </w:r>
      <w:r w:rsidRPr="00BB6BDF">
        <w:t xml:space="preserve"> на тему «</w:t>
      </w:r>
      <w:r w:rsidR="00067016" w:rsidRPr="00BB6BDF">
        <w:rPr>
          <w:sz w:val="24"/>
          <w:szCs w:val="24"/>
        </w:rPr>
        <w:t>Оказание услуг по поставке и выполнение работ по ремонту брендовой и офисной мебели</w:t>
      </w:r>
      <w:r w:rsidRPr="00BB6BDF">
        <w:t>»</w:t>
      </w:r>
      <w:r w:rsidR="007812F2" w:rsidRPr="00BB6BDF">
        <w:t>.</w:t>
      </w:r>
    </w:p>
    <w:p w:rsidR="008F6941" w:rsidRPr="00BB6BDF" w:rsidRDefault="008F6941" w:rsidP="008F6941">
      <w:pPr>
        <w:widowControl w:val="0"/>
        <w:adjustRightInd w:val="0"/>
        <w:spacing w:line="360" w:lineRule="auto"/>
        <w:ind w:right="-2" w:firstLine="426"/>
        <w:jc w:val="both"/>
        <w:textAlignment w:val="baseline"/>
      </w:pPr>
      <w:r w:rsidRPr="00BB6BDF">
        <w:t>Мы ознакомлены</w:t>
      </w:r>
      <w:r w:rsidR="00B066E8" w:rsidRPr="00BB6BDF">
        <w:t xml:space="preserve"> с материалами, содержащимися в Информационном сообщении</w:t>
      </w:r>
      <w:r w:rsidRPr="00BB6BDF">
        <w:t xml:space="preserve">, влияющими на стоимость </w:t>
      </w:r>
      <w:r w:rsidRPr="00BB6BDF">
        <w:rPr>
          <w:bCs/>
        </w:rPr>
        <w:t>услуг</w:t>
      </w:r>
      <w:r w:rsidRPr="00BB6BDF">
        <w:t>.</w:t>
      </w:r>
    </w:p>
    <w:p w:rsidR="008F6941" w:rsidRPr="00BB6BDF" w:rsidRDefault="008F6941" w:rsidP="008F6941">
      <w:pPr>
        <w:spacing w:line="360" w:lineRule="auto"/>
        <w:ind w:right="-2" w:firstLine="426"/>
        <w:jc w:val="both"/>
        <w:rPr>
          <w:rFonts w:eastAsia="Calibri"/>
        </w:rPr>
      </w:pPr>
      <w:r w:rsidRPr="00BB6BDF">
        <w:rPr>
          <w:rFonts w:eastAsia="Calibri"/>
        </w:rPr>
        <w:t xml:space="preserve">Срок действия коммерческого предложения ____ дней (не менее </w:t>
      </w:r>
      <w:r w:rsidR="00B3684B" w:rsidRPr="00BB6BDF">
        <w:rPr>
          <w:rFonts w:eastAsia="Calibri"/>
        </w:rPr>
        <w:t>9</w:t>
      </w:r>
      <w:r w:rsidRPr="00BB6BDF">
        <w:rPr>
          <w:rFonts w:eastAsia="Calibri"/>
        </w:rPr>
        <w:t xml:space="preserve">0 </w:t>
      </w:r>
      <w:r w:rsidRPr="00BB6BDF">
        <w:t>календарных дней).</w:t>
      </w:r>
    </w:p>
    <w:p w:rsidR="008F6941" w:rsidRPr="00BB6BDF" w:rsidRDefault="008F6941" w:rsidP="008F6941">
      <w:pPr>
        <w:widowControl w:val="0"/>
        <w:adjustRightInd w:val="0"/>
        <w:spacing w:before="120"/>
        <w:ind w:firstLine="426"/>
        <w:jc w:val="both"/>
        <w:textAlignment w:val="baseline"/>
        <w:rPr>
          <w:bCs/>
        </w:rPr>
      </w:pPr>
      <w:r w:rsidRPr="00BB6BDF">
        <w:t xml:space="preserve">Мы согласны </w:t>
      </w:r>
      <w:r w:rsidR="003F26FF" w:rsidRPr="00BB6BDF">
        <w:rPr>
          <w:sz w:val="24"/>
          <w:szCs w:val="24"/>
        </w:rPr>
        <w:t>оказывать услуги по поставке и выполнение работ по ремонту брендовой и офисной мебели</w:t>
      </w:r>
      <w:r w:rsidRPr="00BB6BDF">
        <w:t>, предусмотренны</w:t>
      </w:r>
      <w:r w:rsidR="003F26FF" w:rsidRPr="00BB6BDF">
        <w:t>е</w:t>
      </w:r>
      <w:r w:rsidRPr="00BB6BDF">
        <w:t xml:space="preserve"> документацией </w:t>
      </w:r>
      <w:r w:rsidRPr="00BB6BDF">
        <w:rPr>
          <w:bCs/>
        </w:rPr>
        <w:t>на следующих условиях:</w:t>
      </w:r>
    </w:p>
    <w:p w:rsidR="008F6941" w:rsidRPr="00BB6BDF" w:rsidRDefault="008F6941" w:rsidP="008F6941">
      <w:pPr>
        <w:spacing w:before="0"/>
        <w:jc w:val="both"/>
        <w:rPr>
          <w:sz w:val="24"/>
          <w:szCs w:val="24"/>
          <w:vertAlign w:val="superscript"/>
        </w:rPr>
      </w:pPr>
    </w:p>
    <w:p w:rsidR="008F6941" w:rsidRPr="00BB6BDF" w:rsidRDefault="008F6941" w:rsidP="008F6941">
      <w:pPr>
        <w:pStyle w:val="afa"/>
        <w:jc w:val="both"/>
        <w:rPr>
          <w:rFonts w:ascii="Times New Roman" w:hAnsi="Times New Roman"/>
          <w:sz w:val="22"/>
          <w:szCs w:val="22"/>
          <w:lang w:eastAsia="en-US"/>
        </w:rPr>
      </w:pPr>
      <w:r w:rsidRPr="00BB6BDF">
        <w:rPr>
          <w:rFonts w:ascii="Times New Roman" w:hAnsi="Times New Roman"/>
          <w:sz w:val="22"/>
          <w:szCs w:val="22"/>
          <w:lang w:eastAsia="en-US"/>
        </w:rPr>
        <w:t>Форма коммерческого предложения приложена отдельным файлом excel «Форма коммерческого предложения»</w:t>
      </w:r>
      <w:r w:rsidR="00FC3D0F" w:rsidRPr="00BB6BDF">
        <w:rPr>
          <w:rFonts w:ascii="Times New Roman" w:hAnsi="Times New Roman"/>
          <w:sz w:val="22"/>
          <w:szCs w:val="22"/>
          <w:lang w:eastAsia="en-US"/>
        </w:rPr>
        <w:t xml:space="preserve"> (Приложение №1 к Коммерческому предложению)</w:t>
      </w:r>
      <w:r w:rsidRPr="00BB6BDF">
        <w:rPr>
          <w:rFonts w:ascii="Times New Roman" w:hAnsi="Times New Roman"/>
          <w:sz w:val="22"/>
          <w:szCs w:val="22"/>
          <w:lang w:eastAsia="en-US"/>
        </w:rPr>
        <w:t>.</w:t>
      </w:r>
    </w:p>
    <w:p w:rsidR="00FC3D0F" w:rsidRPr="00BB6BDF" w:rsidRDefault="00FC3D0F" w:rsidP="008F6941">
      <w:pPr>
        <w:pStyle w:val="afa"/>
        <w:jc w:val="both"/>
        <w:rPr>
          <w:rFonts w:ascii="Times New Roman" w:hAnsi="Times New Roman"/>
          <w:sz w:val="22"/>
          <w:szCs w:val="22"/>
          <w:lang w:eastAsia="en-US"/>
        </w:rPr>
      </w:pPr>
    </w:p>
    <w:p w:rsidR="00FC3D0F" w:rsidRPr="00BB6BDF" w:rsidRDefault="00FC3D0F" w:rsidP="008F6941">
      <w:pPr>
        <w:pStyle w:val="afa"/>
        <w:jc w:val="both"/>
        <w:rPr>
          <w:rFonts w:ascii="Times New Roman" w:hAnsi="Times New Roman"/>
          <w:sz w:val="22"/>
          <w:szCs w:val="22"/>
          <w:lang w:eastAsia="en-US"/>
        </w:rPr>
      </w:pPr>
    </w:p>
    <w:p w:rsidR="00FC3D0F" w:rsidRPr="00BB6BDF" w:rsidRDefault="00FC3D0F" w:rsidP="008F6941">
      <w:pPr>
        <w:pStyle w:val="afa"/>
        <w:jc w:val="both"/>
        <w:rPr>
          <w:rFonts w:ascii="Times New Roman" w:hAnsi="Times New Roman"/>
          <w:sz w:val="22"/>
          <w:szCs w:val="22"/>
          <w:lang w:eastAsia="en-US"/>
        </w:rPr>
      </w:pPr>
    </w:p>
    <w:p w:rsidR="00FC3D0F" w:rsidRPr="00BB6BDF" w:rsidRDefault="00FC3D0F" w:rsidP="008F6941">
      <w:pPr>
        <w:pStyle w:val="afa"/>
        <w:jc w:val="both"/>
        <w:rPr>
          <w:rFonts w:ascii="Times New Roman" w:hAnsi="Times New Roman"/>
          <w:sz w:val="22"/>
          <w:szCs w:val="22"/>
          <w:lang w:eastAsia="en-US"/>
        </w:rPr>
      </w:pPr>
    </w:p>
    <w:p w:rsidR="00FC3D0F" w:rsidRPr="00BB6BDF" w:rsidRDefault="00FC3D0F" w:rsidP="008F6941">
      <w:pPr>
        <w:pStyle w:val="afa"/>
        <w:jc w:val="both"/>
        <w:rPr>
          <w:rFonts w:ascii="Times New Roman" w:hAnsi="Times New Roman"/>
          <w:sz w:val="22"/>
          <w:szCs w:val="22"/>
          <w:lang w:eastAsia="en-US"/>
        </w:rPr>
      </w:pPr>
    </w:p>
    <w:p w:rsidR="00FC3D0F" w:rsidRPr="00BB6BDF" w:rsidRDefault="00FC3D0F" w:rsidP="008F6941">
      <w:pPr>
        <w:pStyle w:val="afa"/>
        <w:jc w:val="both"/>
        <w:rPr>
          <w:rFonts w:ascii="Times New Roman" w:hAnsi="Times New Roman"/>
          <w:sz w:val="22"/>
          <w:szCs w:val="22"/>
          <w:lang w:eastAsia="en-US"/>
        </w:rPr>
      </w:pPr>
    </w:p>
    <w:p w:rsidR="00FC3D0F" w:rsidRPr="00BB6BDF" w:rsidRDefault="00FC3D0F" w:rsidP="008F6941">
      <w:pPr>
        <w:pStyle w:val="afa"/>
        <w:jc w:val="both"/>
        <w:rPr>
          <w:rFonts w:ascii="Times New Roman" w:hAnsi="Times New Roman"/>
          <w:sz w:val="22"/>
          <w:szCs w:val="22"/>
          <w:lang w:eastAsia="en-US"/>
        </w:rPr>
      </w:pPr>
      <w:r w:rsidRPr="00BB6BDF">
        <w:rPr>
          <w:rFonts w:ascii="Times New Roman" w:hAnsi="Times New Roman"/>
          <w:sz w:val="22"/>
          <w:szCs w:val="22"/>
          <w:lang w:eastAsia="en-US"/>
        </w:rPr>
        <w:t>___________________________ /_____________________/</w:t>
      </w:r>
      <w:r w:rsidRPr="00BB6BDF">
        <w:rPr>
          <w:rFonts w:ascii="Times New Roman" w:hAnsi="Times New Roman"/>
          <w:sz w:val="22"/>
          <w:szCs w:val="22"/>
          <w:lang w:eastAsia="en-US"/>
        </w:rPr>
        <w:tab/>
      </w:r>
      <w:r w:rsidRPr="00BB6BDF">
        <w:rPr>
          <w:rFonts w:ascii="Times New Roman" w:hAnsi="Times New Roman"/>
          <w:sz w:val="22"/>
          <w:szCs w:val="22"/>
          <w:lang w:eastAsia="en-US"/>
        </w:rPr>
        <w:tab/>
      </w:r>
      <w:r w:rsidRPr="00BB6BDF">
        <w:rPr>
          <w:rFonts w:ascii="Times New Roman" w:hAnsi="Times New Roman"/>
          <w:sz w:val="22"/>
          <w:szCs w:val="22"/>
          <w:lang w:eastAsia="en-US"/>
        </w:rPr>
        <w:tab/>
        <w:t>"__" ____________20__г.</w:t>
      </w:r>
    </w:p>
    <w:p w:rsidR="00FC3D0F" w:rsidRPr="00BB6BDF" w:rsidRDefault="00FC3D0F">
      <w:pPr>
        <w:rPr>
          <w:sz w:val="24"/>
          <w:szCs w:val="24"/>
          <w:vertAlign w:val="superscript"/>
        </w:rPr>
      </w:pPr>
      <w:r w:rsidRPr="00BB6BDF">
        <w:rPr>
          <w:sz w:val="24"/>
          <w:szCs w:val="24"/>
          <w:vertAlign w:val="superscript"/>
        </w:rPr>
        <w:tab/>
        <w:t>(должность)</w:t>
      </w:r>
      <w:r w:rsidRPr="00BB6BDF">
        <w:rPr>
          <w:sz w:val="24"/>
          <w:szCs w:val="24"/>
          <w:vertAlign w:val="superscript"/>
        </w:rPr>
        <w:tab/>
      </w:r>
      <w:r w:rsidRPr="00BB6BDF">
        <w:rPr>
          <w:sz w:val="24"/>
          <w:szCs w:val="24"/>
          <w:vertAlign w:val="superscript"/>
        </w:rPr>
        <w:tab/>
      </w:r>
      <w:r w:rsidRPr="00BB6BDF">
        <w:rPr>
          <w:sz w:val="24"/>
          <w:szCs w:val="24"/>
          <w:vertAlign w:val="superscript"/>
        </w:rPr>
        <w:tab/>
        <w:t>Фамилия И.О.</w:t>
      </w:r>
      <w:r w:rsidRPr="00BB6BDF">
        <w:rPr>
          <w:sz w:val="24"/>
          <w:szCs w:val="24"/>
          <w:vertAlign w:val="superscript"/>
        </w:rPr>
        <w:tab/>
      </w:r>
      <w:r w:rsidRPr="00BB6BDF">
        <w:rPr>
          <w:sz w:val="24"/>
          <w:szCs w:val="24"/>
          <w:vertAlign w:val="superscript"/>
        </w:rPr>
        <w:tab/>
      </w:r>
      <w:r w:rsidRPr="00BB6BDF">
        <w:rPr>
          <w:sz w:val="24"/>
          <w:szCs w:val="24"/>
          <w:vertAlign w:val="superscript"/>
        </w:rPr>
        <w:tab/>
      </w:r>
      <w:r w:rsidRPr="00BB6BDF">
        <w:rPr>
          <w:sz w:val="24"/>
          <w:szCs w:val="24"/>
          <w:vertAlign w:val="superscript"/>
        </w:rPr>
        <w:tab/>
      </w:r>
      <w:r w:rsidRPr="00BB6BDF">
        <w:rPr>
          <w:sz w:val="24"/>
          <w:szCs w:val="24"/>
          <w:vertAlign w:val="superscript"/>
        </w:rPr>
        <w:tab/>
        <w:t xml:space="preserve">    (дата)</w:t>
      </w:r>
    </w:p>
    <w:p w:rsidR="00441D51" w:rsidRPr="00BB6BDF" w:rsidRDefault="00FC3D0F">
      <w:pPr>
        <w:rPr>
          <w:sz w:val="24"/>
          <w:szCs w:val="24"/>
          <w:vertAlign w:val="superscript"/>
        </w:rPr>
      </w:pPr>
      <w:r w:rsidRPr="00BB6BDF">
        <w:rPr>
          <w:sz w:val="24"/>
          <w:szCs w:val="24"/>
          <w:vertAlign w:val="superscript"/>
        </w:rPr>
        <w:tab/>
      </w:r>
      <w:r w:rsidRPr="00BB6BDF">
        <w:rPr>
          <w:sz w:val="24"/>
          <w:szCs w:val="24"/>
          <w:vertAlign w:val="superscript"/>
        </w:rPr>
        <w:tab/>
      </w:r>
      <w:r w:rsidRPr="00BB6BDF">
        <w:rPr>
          <w:sz w:val="24"/>
          <w:szCs w:val="24"/>
          <w:vertAlign w:val="superscript"/>
        </w:rPr>
        <w:tab/>
      </w:r>
      <w:r w:rsidRPr="00BB6BDF">
        <w:rPr>
          <w:sz w:val="24"/>
          <w:szCs w:val="24"/>
          <w:vertAlign w:val="superscript"/>
        </w:rPr>
        <w:tab/>
        <w:t>М.П.</w:t>
      </w:r>
      <w:r w:rsidR="00441D51" w:rsidRPr="00BB6BDF">
        <w:rPr>
          <w:sz w:val="24"/>
          <w:szCs w:val="24"/>
          <w:vertAlign w:val="superscript"/>
        </w:rPr>
        <w:br w:type="page"/>
      </w:r>
    </w:p>
    <w:p w:rsidR="00DF4206" w:rsidRPr="00BB6BDF" w:rsidRDefault="00DF4206" w:rsidP="00DF4206">
      <w:pPr>
        <w:spacing w:before="100" w:beforeAutospacing="1"/>
        <w:rPr>
          <w:sz w:val="24"/>
          <w:szCs w:val="24"/>
          <w:vertAlign w:val="superscript"/>
        </w:rPr>
      </w:pPr>
    </w:p>
    <w:p w:rsidR="00DF4206" w:rsidRPr="00BB6BDF" w:rsidRDefault="00DF4206" w:rsidP="00DF4206">
      <w:pPr>
        <w:spacing w:before="100" w:beforeAutospacing="1"/>
        <w:rPr>
          <w:sz w:val="24"/>
          <w:szCs w:val="24"/>
          <w:vertAlign w:val="superscript"/>
        </w:rPr>
      </w:pPr>
    </w:p>
    <w:p w:rsidR="008F6941" w:rsidRPr="00BB6BDF" w:rsidRDefault="008F6941" w:rsidP="008F6941">
      <w:pPr>
        <w:pStyle w:val="Times12"/>
        <w:ind w:left="5103" w:firstLine="0"/>
        <w:jc w:val="right"/>
        <w:rPr>
          <w:b/>
          <w:iCs/>
          <w:szCs w:val="24"/>
        </w:rPr>
      </w:pPr>
      <w:r w:rsidRPr="00BB6BDF">
        <w:rPr>
          <w:b/>
          <w:iCs/>
          <w:szCs w:val="24"/>
        </w:rPr>
        <w:t xml:space="preserve">Приложение № </w:t>
      </w:r>
      <w:r w:rsidR="007812F2" w:rsidRPr="00BB6BDF">
        <w:rPr>
          <w:b/>
          <w:iCs/>
          <w:szCs w:val="24"/>
        </w:rPr>
        <w:t>2</w:t>
      </w:r>
    </w:p>
    <w:p w:rsidR="008F6941" w:rsidRPr="00BB6BDF" w:rsidRDefault="008F6941" w:rsidP="008F6941">
      <w:pPr>
        <w:ind w:firstLine="720"/>
        <w:jc w:val="center"/>
        <w:rPr>
          <w:rFonts w:eastAsia="Calibri"/>
          <w:b/>
        </w:rPr>
      </w:pPr>
      <w:r w:rsidRPr="00BB6BDF">
        <w:rPr>
          <w:rFonts w:eastAsia="Calibri"/>
          <w:b/>
        </w:rPr>
        <w:t>Техническое задание</w:t>
      </w:r>
    </w:p>
    <w:p w:rsidR="008F6941" w:rsidRPr="00BB6BDF" w:rsidRDefault="008F6941" w:rsidP="008F6941">
      <w:pPr>
        <w:pStyle w:val="afa"/>
        <w:jc w:val="both"/>
        <w:rPr>
          <w:rFonts w:ascii="Times New Roman" w:eastAsiaTheme="minorHAnsi" w:hAnsi="Times New Roman"/>
          <w:sz w:val="24"/>
          <w:szCs w:val="24"/>
          <w:lang w:eastAsia="en-US"/>
        </w:rPr>
      </w:pPr>
      <w:r w:rsidRPr="00BB6BDF">
        <w:rPr>
          <w:rFonts w:ascii="Times New Roman" w:eastAsiaTheme="minorHAnsi" w:hAnsi="Times New Roman"/>
          <w:sz w:val="24"/>
          <w:szCs w:val="24"/>
          <w:lang w:eastAsia="en-US"/>
        </w:rPr>
        <w:t xml:space="preserve">Техническое задание приложено отдельным файлом </w:t>
      </w:r>
      <w:r w:rsidR="009504DA" w:rsidRPr="00BB6BDF">
        <w:rPr>
          <w:rFonts w:ascii="Times New Roman" w:eastAsiaTheme="minorHAnsi" w:hAnsi="Times New Roman"/>
          <w:sz w:val="24"/>
          <w:szCs w:val="24"/>
          <w:lang w:val="en-US" w:eastAsia="en-US"/>
        </w:rPr>
        <w:t>excel</w:t>
      </w:r>
      <w:r w:rsidRPr="00BB6BDF">
        <w:rPr>
          <w:rFonts w:ascii="Times New Roman" w:eastAsiaTheme="minorHAnsi" w:hAnsi="Times New Roman"/>
          <w:sz w:val="24"/>
          <w:szCs w:val="24"/>
          <w:lang w:eastAsia="en-US"/>
        </w:rPr>
        <w:t xml:space="preserve"> «Техническое задание».</w:t>
      </w:r>
    </w:p>
    <w:p w:rsidR="00131D3E" w:rsidRPr="00BB6BDF" w:rsidRDefault="00131D3E" w:rsidP="00131D3E">
      <w:pPr>
        <w:pStyle w:val="ab"/>
        <w:autoSpaceDE w:val="0"/>
        <w:autoSpaceDN w:val="0"/>
        <w:adjustRightInd w:val="0"/>
        <w:ind w:left="360"/>
        <w:jc w:val="right"/>
        <w:rPr>
          <w:bCs/>
        </w:rPr>
      </w:pPr>
    </w:p>
    <w:p w:rsidR="00131D3E" w:rsidRPr="00BB6BDF" w:rsidRDefault="00131D3E" w:rsidP="00A71A89">
      <w:pPr>
        <w:pStyle w:val="af3"/>
        <w:tabs>
          <w:tab w:val="left" w:pos="993"/>
        </w:tabs>
        <w:spacing w:before="0" w:beforeAutospacing="0" w:after="0" w:afterAutospacing="0"/>
        <w:ind w:firstLine="567"/>
        <w:jc w:val="both"/>
        <w:rPr>
          <w:vertAlign w:val="superscript"/>
        </w:rPr>
      </w:pPr>
    </w:p>
    <w:sectPr w:rsidR="00131D3E" w:rsidRPr="00BB6BDF" w:rsidSect="00DF4206">
      <w:headerReference w:type="default" r:id="rId9"/>
      <w:footerReference w:type="default" r:id="rId10"/>
      <w:headerReference w:type="first" r:id="rId11"/>
      <w:type w:val="continuous"/>
      <w:pgSz w:w="11906" w:h="16838"/>
      <w:pgMar w:top="1134" w:right="851" w:bottom="1077"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BF" w:rsidRDefault="00414ABF" w:rsidP="00FC5037">
      <w:pPr>
        <w:spacing w:before="0"/>
      </w:pPr>
      <w:r>
        <w:separator/>
      </w:r>
    </w:p>
  </w:endnote>
  <w:endnote w:type="continuationSeparator" w:id="0">
    <w:p w:rsidR="00414ABF" w:rsidRDefault="00414ABF"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41" w:rsidRPr="00662757" w:rsidRDefault="00905241" w:rsidP="00662757">
    <w:pPr>
      <w:pStyle w:val="a6"/>
      <w:tabs>
        <w:tab w:val="clear" w:pos="9355"/>
        <w:tab w:val="left" w:pos="10490"/>
        <w:tab w:val="right" w:pos="10915"/>
      </w:tabs>
      <w:ind w:right="-1276"/>
      <w:jc w:val="right"/>
      <w:rPr>
        <w:rFonts w:ascii="Arial" w:hAnsi="Arial" w:cs="Arial"/>
        <w:noProof/>
        <w:sz w:val="24"/>
        <w:szCs w:val="24"/>
        <w:lang w:eastAsia="ru-RU"/>
      </w:rPr>
    </w:pPr>
    <w:r w:rsidRPr="00662757">
      <w:rPr>
        <w:rFonts w:ascii="Arial" w:hAnsi="Arial" w:cs="Arial"/>
        <w:noProof/>
        <w:sz w:val="24"/>
        <w:szCs w:val="24"/>
        <w:lang w:eastAsia="ru-RU"/>
      </w:rPr>
      <w:t xml:space="preserve"> </w:t>
    </w:r>
  </w:p>
  <w:p w:rsidR="00905241" w:rsidRDefault="00905241" w:rsidP="009E30E4">
    <w:pPr>
      <w:pStyle w:val="a6"/>
      <w:tabs>
        <w:tab w:val="clear" w:pos="9355"/>
        <w:tab w:val="right" w:pos="9498"/>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BF" w:rsidRDefault="00414ABF" w:rsidP="00FC5037">
      <w:pPr>
        <w:spacing w:before="0"/>
      </w:pPr>
      <w:r>
        <w:separator/>
      </w:r>
    </w:p>
  </w:footnote>
  <w:footnote w:type="continuationSeparator" w:id="0">
    <w:p w:rsidR="00414ABF" w:rsidRDefault="00414ABF" w:rsidP="00FC503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41" w:rsidRPr="00741370" w:rsidRDefault="00905241" w:rsidP="00741370">
    <w:pPr>
      <w:pStyle w:val="a4"/>
    </w:pPr>
    <w:r>
      <w:rPr>
        <w:noProof/>
        <w:lang w:eastAsia="ru-RU"/>
      </w:rPr>
      <w:drawing>
        <wp:anchor distT="0" distB="0" distL="114300" distR="114300" simplePos="0" relativeHeight="251659264" behindDoc="1" locked="0" layoutInCell="1" allowOverlap="1" wp14:anchorId="31D5A389" wp14:editId="6BEF9276">
          <wp:simplePos x="0" y="0"/>
          <wp:positionH relativeFrom="column">
            <wp:posOffset>-3810</wp:posOffset>
          </wp:positionH>
          <wp:positionV relativeFrom="paragraph">
            <wp:posOffset>-4445</wp:posOffset>
          </wp:positionV>
          <wp:extent cx="7267575" cy="10399824"/>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99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41" w:rsidRDefault="00905241" w:rsidP="00115633">
    <w:pPr>
      <w:pStyle w:val="a4"/>
      <w:ind w:left="142"/>
      <w:rPr>
        <w:rFonts w:ascii="Arial" w:hAnsi="Arial" w:cs="Arial"/>
      </w:rPr>
    </w:pPr>
    <w:r>
      <w:rPr>
        <w:rFonts w:ascii="Arial" w:hAnsi="Arial" w:cs="Arial"/>
        <w:noProof/>
        <w:lang w:eastAsia="ru-RU"/>
      </w:rPr>
      <w:drawing>
        <wp:anchor distT="0" distB="0" distL="114300" distR="114300" simplePos="0" relativeHeight="251661312" behindDoc="1" locked="0" layoutInCell="1" allowOverlap="1" wp14:anchorId="59DDB9A1" wp14:editId="2A273480">
          <wp:simplePos x="0" y="0"/>
          <wp:positionH relativeFrom="page">
            <wp:posOffset>195580</wp:posOffset>
          </wp:positionH>
          <wp:positionV relativeFrom="paragraph">
            <wp:posOffset>119380</wp:posOffset>
          </wp:positionV>
          <wp:extent cx="7128000" cy="981963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5241" w:rsidRDefault="00905241" w:rsidP="00115633">
    <w:pPr>
      <w:pStyle w:val="a4"/>
      <w:ind w:left="142"/>
      <w:rPr>
        <w:rFonts w:ascii="Arial" w:hAnsi="Arial" w:cs="Arial"/>
      </w:rPr>
    </w:pPr>
  </w:p>
  <w:p w:rsidR="00905241" w:rsidRPr="005E4730" w:rsidRDefault="00905241" w:rsidP="00491342">
    <w:pPr>
      <w:pStyle w:val="a4"/>
      <w:tabs>
        <w:tab w:val="left" w:pos="5355"/>
      </w:tabs>
      <w:ind w:left="5245"/>
      <w:rPr>
        <w:rFonts w:ascii="Arial" w:hAnsi="Arial" w:cs="Arial"/>
      </w:rPr>
    </w:pPr>
    <w:bookmarkStart w:id="2" w:name="_Hlk516321085"/>
    <w:r>
      <w:rPr>
        <w:rFonts w:ascii="Arial" w:hAnsi="Arial" w:cs="Arial"/>
        <w:b/>
        <w:color w:val="595959" w:themeColor="text1" w:themeTint="A6"/>
        <w:sz w:val="14"/>
        <w:szCs w:val="14"/>
      </w:rPr>
      <w:t>Публичн</w:t>
    </w:r>
    <w:r w:rsidRPr="002903CD">
      <w:rPr>
        <w:rFonts w:ascii="Arial" w:hAnsi="Arial" w:cs="Arial"/>
        <w:b/>
        <w:color w:val="595959" w:themeColor="text1" w:themeTint="A6"/>
        <w:sz w:val="14"/>
        <w:szCs w:val="14"/>
      </w:rPr>
      <w:t>ое акционерное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rsidR="00905241" w:rsidRDefault="00905241"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rsidR="00905241" w:rsidRDefault="00905241"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rsidR="00905241" w:rsidRDefault="00905241"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rsidR="00905241" w:rsidRDefault="00905241"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rsidR="00905241" w:rsidRDefault="00905241"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bookmarkEnd w:id="2"/>
  <w:p w:rsidR="00905241" w:rsidRPr="002903CD" w:rsidRDefault="00905241" w:rsidP="00C57F04">
    <w:pPr>
      <w:pStyle w:val="a4"/>
      <w:spacing w:line="276" w:lineRule="auto"/>
      <w:ind w:left="5245" w:right="-1276"/>
      <w:rPr>
        <w:rFonts w:ascii="Arial" w:hAnsi="Arial" w:cs="Arial"/>
        <w:b/>
        <w:color w:val="595959" w:themeColor="text1" w:themeTint="A6"/>
        <w:sz w:val="14"/>
        <w:szCs w:val="14"/>
      </w:rPr>
    </w:pPr>
  </w:p>
  <w:p w:rsidR="00905241" w:rsidRDefault="00905241"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BD5B67"/>
    <w:multiLevelType w:val="hybridMultilevel"/>
    <w:tmpl w:val="A800AF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0E5C3B"/>
    <w:multiLevelType w:val="hybridMultilevel"/>
    <w:tmpl w:val="137E38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641820"/>
    <w:multiLevelType w:val="hybridMultilevel"/>
    <w:tmpl w:val="715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92373"/>
    <w:multiLevelType w:val="hybridMultilevel"/>
    <w:tmpl w:val="3378EBE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1CCA170E"/>
    <w:multiLevelType w:val="hybridMultilevel"/>
    <w:tmpl w:val="6970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2" w15:restartNumberingAfterBreak="0">
    <w:nsid w:val="27AE01BF"/>
    <w:multiLevelType w:val="hybridMultilevel"/>
    <w:tmpl w:val="AD7043E2"/>
    <w:lvl w:ilvl="0" w:tplc="1A22CF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5" w15:restartNumberingAfterBreak="0">
    <w:nsid w:val="36922FBB"/>
    <w:multiLevelType w:val="multilevel"/>
    <w:tmpl w:val="C2AE1E14"/>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6" w15:restartNumberingAfterBreak="0">
    <w:nsid w:val="36A21F24"/>
    <w:multiLevelType w:val="hybridMultilevel"/>
    <w:tmpl w:val="B7E45C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AD95EEB"/>
    <w:multiLevelType w:val="hybridMultilevel"/>
    <w:tmpl w:val="5CB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57DFE"/>
    <w:multiLevelType w:val="multilevel"/>
    <w:tmpl w:val="7DFCC6A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44BB7981"/>
    <w:multiLevelType w:val="multilevel"/>
    <w:tmpl w:val="2AB02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86593A"/>
    <w:multiLevelType w:val="hybridMultilevel"/>
    <w:tmpl w:val="8DF091E4"/>
    <w:lvl w:ilvl="0" w:tplc="B03C8680">
      <w:start w:val="1"/>
      <w:numFmt w:val="decimal"/>
      <w:lvlText w:val="3.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4"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25" w15:restartNumberingAfterBreak="0">
    <w:nsid w:val="59C101B4"/>
    <w:multiLevelType w:val="hybridMultilevel"/>
    <w:tmpl w:val="218A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860528"/>
    <w:multiLevelType w:val="hybridMultilevel"/>
    <w:tmpl w:val="6ADC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AD746B"/>
    <w:multiLevelType w:val="hybridMultilevel"/>
    <w:tmpl w:val="21DE8C0E"/>
    <w:lvl w:ilvl="0" w:tplc="97566280">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28C56A5"/>
    <w:multiLevelType w:val="hybridMultilevel"/>
    <w:tmpl w:val="EBA2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04579F"/>
    <w:multiLevelType w:val="multilevel"/>
    <w:tmpl w:val="7FB4B2CA"/>
    <w:lvl w:ilvl="0">
      <w:start w:val="2"/>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1" w15:restartNumberingAfterBreak="0">
    <w:nsid w:val="6A371497"/>
    <w:multiLevelType w:val="hybridMultilevel"/>
    <w:tmpl w:val="133EB5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6CEE47DD"/>
    <w:multiLevelType w:val="hybridMultilevel"/>
    <w:tmpl w:val="DC7E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8D0225"/>
    <w:multiLevelType w:val="hybridMultilevel"/>
    <w:tmpl w:val="E5488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6" w15:restartNumberingAfterBreak="0">
    <w:nsid w:val="75075A70"/>
    <w:multiLevelType w:val="multilevel"/>
    <w:tmpl w:val="F4D4034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ADF1CE1"/>
    <w:multiLevelType w:val="multilevel"/>
    <w:tmpl w:val="E6421DA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25"/>
  </w:num>
  <w:num w:numId="2">
    <w:abstractNumId w:val="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7"/>
  </w:num>
  <w:num w:numId="8">
    <w:abstractNumId w:val="26"/>
  </w:num>
  <w:num w:numId="9">
    <w:abstractNumId w:val="0"/>
  </w:num>
  <w:num w:numId="10">
    <w:abstractNumId w:val="1"/>
  </w:num>
  <w:num w:numId="11">
    <w:abstractNumId w:val="35"/>
  </w:num>
  <w:num w:numId="12">
    <w:abstractNumId w:val="29"/>
  </w:num>
  <w:num w:numId="13">
    <w:abstractNumId w:val="9"/>
  </w:num>
  <w:num w:numId="14">
    <w:abstractNumId w:val="32"/>
  </w:num>
  <w:num w:numId="15">
    <w:abstractNumId w:val="6"/>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1"/>
  </w:num>
  <w:num w:numId="21">
    <w:abstractNumId w:val="22"/>
  </w:num>
  <w:num w:numId="22">
    <w:abstractNumId w:val="21"/>
  </w:num>
  <w:num w:numId="23">
    <w:abstractNumId w:val="24"/>
  </w:num>
  <w:num w:numId="24">
    <w:abstractNumId w:val="33"/>
  </w:num>
  <w:num w:numId="25">
    <w:abstractNumId w:val="13"/>
  </w:num>
  <w:num w:numId="26">
    <w:abstractNumId w:val="2"/>
  </w:num>
  <w:num w:numId="27">
    <w:abstractNumId w:val="36"/>
  </w:num>
  <w:num w:numId="28">
    <w:abstractNumId w:val="12"/>
  </w:num>
  <w:num w:numId="29">
    <w:abstractNumId w:val="27"/>
  </w:num>
  <w:num w:numId="30">
    <w:abstractNumId w:val="20"/>
  </w:num>
  <w:num w:numId="31">
    <w:abstractNumId w:val="30"/>
  </w:num>
  <w:num w:numId="32">
    <w:abstractNumId w:val="19"/>
  </w:num>
  <w:num w:numId="33">
    <w:abstractNumId w:val="8"/>
  </w:num>
  <w:num w:numId="34">
    <w:abstractNumId w:val="37"/>
  </w:num>
  <w:num w:numId="35">
    <w:abstractNumId w:val="18"/>
  </w:num>
  <w:num w:numId="36">
    <w:abstractNumId w:val="15"/>
  </w:num>
  <w:num w:numId="37">
    <w:abstractNumId w:val="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8"/>
    <w:rsid w:val="00002E71"/>
    <w:rsid w:val="00021CBD"/>
    <w:rsid w:val="00023047"/>
    <w:rsid w:val="00025B41"/>
    <w:rsid w:val="00025ED7"/>
    <w:rsid w:val="00036D27"/>
    <w:rsid w:val="000415DD"/>
    <w:rsid w:val="000469A5"/>
    <w:rsid w:val="0005683A"/>
    <w:rsid w:val="00057829"/>
    <w:rsid w:val="00062D4B"/>
    <w:rsid w:val="00064C0E"/>
    <w:rsid w:val="00066B83"/>
    <w:rsid w:val="00067016"/>
    <w:rsid w:val="000722B0"/>
    <w:rsid w:val="00073949"/>
    <w:rsid w:val="00074F1D"/>
    <w:rsid w:val="00090717"/>
    <w:rsid w:val="00097C7B"/>
    <w:rsid w:val="000A7AA8"/>
    <w:rsid w:val="000A7E80"/>
    <w:rsid w:val="000C49B7"/>
    <w:rsid w:val="000C626F"/>
    <w:rsid w:val="000D3D1C"/>
    <w:rsid w:val="000E793B"/>
    <w:rsid w:val="00113E6E"/>
    <w:rsid w:val="00115633"/>
    <w:rsid w:val="00130F54"/>
    <w:rsid w:val="00131D3E"/>
    <w:rsid w:val="00132A8A"/>
    <w:rsid w:val="00145471"/>
    <w:rsid w:val="00164F5F"/>
    <w:rsid w:val="001A172D"/>
    <w:rsid w:val="001A2448"/>
    <w:rsid w:val="001B0695"/>
    <w:rsid w:val="001C455F"/>
    <w:rsid w:val="001C6C4F"/>
    <w:rsid w:val="001D30F4"/>
    <w:rsid w:val="001D587F"/>
    <w:rsid w:val="001E6671"/>
    <w:rsid w:val="001F2C1A"/>
    <w:rsid w:val="00201FE9"/>
    <w:rsid w:val="00203B13"/>
    <w:rsid w:val="002067A6"/>
    <w:rsid w:val="002067AC"/>
    <w:rsid w:val="00212263"/>
    <w:rsid w:val="002220B0"/>
    <w:rsid w:val="00222F75"/>
    <w:rsid w:val="00245DA3"/>
    <w:rsid w:val="00275A36"/>
    <w:rsid w:val="00277DE8"/>
    <w:rsid w:val="00280438"/>
    <w:rsid w:val="002903CD"/>
    <w:rsid w:val="002A13EE"/>
    <w:rsid w:val="002A261C"/>
    <w:rsid w:val="002A42EF"/>
    <w:rsid w:val="002C1FF3"/>
    <w:rsid w:val="002C4FDF"/>
    <w:rsid w:val="002C565C"/>
    <w:rsid w:val="002D14F8"/>
    <w:rsid w:val="002D1B42"/>
    <w:rsid w:val="002D44D3"/>
    <w:rsid w:val="002E5DE7"/>
    <w:rsid w:val="002E7FE3"/>
    <w:rsid w:val="00303C7B"/>
    <w:rsid w:val="00332BC9"/>
    <w:rsid w:val="00333D24"/>
    <w:rsid w:val="003408D6"/>
    <w:rsid w:val="00347732"/>
    <w:rsid w:val="003524AE"/>
    <w:rsid w:val="00361302"/>
    <w:rsid w:val="00370385"/>
    <w:rsid w:val="00380566"/>
    <w:rsid w:val="00380AF9"/>
    <w:rsid w:val="003919D8"/>
    <w:rsid w:val="003A1C96"/>
    <w:rsid w:val="003D4915"/>
    <w:rsid w:val="003F26FF"/>
    <w:rsid w:val="00414ABF"/>
    <w:rsid w:val="00437F66"/>
    <w:rsid w:val="00440153"/>
    <w:rsid w:val="00441D51"/>
    <w:rsid w:val="00443DBA"/>
    <w:rsid w:val="00454481"/>
    <w:rsid w:val="00467AFD"/>
    <w:rsid w:val="00474174"/>
    <w:rsid w:val="00481513"/>
    <w:rsid w:val="004906E8"/>
    <w:rsid w:val="00491342"/>
    <w:rsid w:val="00495A97"/>
    <w:rsid w:val="004A11B1"/>
    <w:rsid w:val="004A3D2C"/>
    <w:rsid w:val="004A6072"/>
    <w:rsid w:val="004B353B"/>
    <w:rsid w:val="004B457A"/>
    <w:rsid w:val="004B4605"/>
    <w:rsid w:val="004B57E6"/>
    <w:rsid w:val="004C74DC"/>
    <w:rsid w:val="004D7428"/>
    <w:rsid w:val="004E13D6"/>
    <w:rsid w:val="004E4967"/>
    <w:rsid w:val="004E54F5"/>
    <w:rsid w:val="004E731D"/>
    <w:rsid w:val="004F5F2D"/>
    <w:rsid w:val="004F73F6"/>
    <w:rsid w:val="004F7848"/>
    <w:rsid w:val="00523001"/>
    <w:rsid w:val="00524C8B"/>
    <w:rsid w:val="00525553"/>
    <w:rsid w:val="00537283"/>
    <w:rsid w:val="00537D33"/>
    <w:rsid w:val="00544E4B"/>
    <w:rsid w:val="00545B09"/>
    <w:rsid w:val="005464A5"/>
    <w:rsid w:val="00550BE3"/>
    <w:rsid w:val="00550C9D"/>
    <w:rsid w:val="00563FF0"/>
    <w:rsid w:val="00563FFB"/>
    <w:rsid w:val="00564E5E"/>
    <w:rsid w:val="00565EBF"/>
    <w:rsid w:val="00571719"/>
    <w:rsid w:val="005841E1"/>
    <w:rsid w:val="00591750"/>
    <w:rsid w:val="005920F8"/>
    <w:rsid w:val="005B2D59"/>
    <w:rsid w:val="005B7481"/>
    <w:rsid w:val="005B77B4"/>
    <w:rsid w:val="005C64C3"/>
    <w:rsid w:val="005D719D"/>
    <w:rsid w:val="005D7329"/>
    <w:rsid w:val="005E4730"/>
    <w:rsid w:val="005F0FA0"/>
    <w:rsid w:val="005F4D8F"/>
    <w:rsid w:val="005F5F5A"/>
    <w:rsid w:val="00616A05"/>
    <w:rsid w:val="00632F1E"/>
    <w:rsid w:val="00653049"/>
    <w:rsid w:val="00660E3E"/>
    <w:rsid w:val="00662757"/>
    <w:rsid w:val="006A1131"/>
    <w:rsid w:val="006A2464"/>
    <w:rsid w:val="006C0C8F"/>
    <w:rsid w:val="006C7317"/>
    <w:rsid w:val="006D3D27"/>
    <w:rsid w:val="006D3F19"/>
    <w:rsid w:val="006D6BFD"/>
    <w:rsid w:val="006F1174"/>
    <w:rsid w:val="006F11E6"/>
    <w:rsid w:val="006F51CF"/>
    <w:rsid w:val="00701A36"/>
    <w:rsid w:val="00702948"/>
    <w:rsid w:val="0072286B"/>
    <w:rsid w:val="00732BA2"/>
    <w:rsid w:val="00732C54"/>
    <w:rsid w:val="00741370"/>
    <w:rsid w:val="00742ED6"/>
    <w:rsid w:val="00743E45"/>
    <w:rsid w:val="00775E38"/>
    <w:rsid w:val="007812F2"/>
    <w:rsid w:val="00783D2D"/>
    <w:rsid w:val="00790E53"/>
    <w:rsid w:val="007952E9"/>
    <w:rsid w:val="007A4517"/>
    <w:rsid w:val="007C111B"/>
    <w:rsid w:val="007E020E"/>
    <w:rsid w:val="007E4A6A"/>
    <w:rsid w:val="008020A2"/>
    <w:rsid w:val="00804689"/>
    <w:rsid w:val="00811FF3"/>
    <w:rsid w:val="00835841"/>
    <w:rsid w:val="00840E9E"/>
    <w:rsid w:val="008425B3"/>
    <w:rsid w:val="0085316E"/>
    <w:rsid w:val="008560DE"/>
    <w:rsid w:val="00867ED8"/>
    <w:rsid w:val="008735AB"/>
    <w:rsid w:val="0087496C"/>
    <w:rsid w:val="008920AE"/>
    <w:rsid w:val="00895871"/>
    <w:rsid w:val="008A1067"/>
    <w:rsid w:val="008B3EEB"/>
    <w:rsid w:val="008E318E"/>
    <w:rsid w:val="008F23DA"/>
    <w:rsid w:val="008F3E1B"/>
    <w:rsid w:val="008F6941"/>
    <w:rsid w:val="008F6959"/>
    <w:rsid w:val="00902F58"/>
    <w:rsid w:val="00905241"/>
    <w:rsid w:val="00912808"/>
    <w:rsid w:val="00913E4B"/>
    <w:rsid w:val="0092348A"/>
    <w:rsid w:val="0092516A"/>
    <w:rsid w:val="009304E2"/>
    <w:rsid w:val="00930E98"/>
    <w:rsid w:val="00937AC9"/>
    <w:rsid w:val="00944E19"/>
    <w:rsid w:val="00945486"/>
    <w:rsid w:val="009504DA"/>
    <w:rsid w:val="009655A6"/>
    <w:rsid w:val="00990D8A"/>
    <w:rsid w:val="00994E76"/>
    <w:rsid w:val="00997C08"/>
    <w:rsid w:val="009A74C6"/>
    <w:rsid w:val="009B41D5"/>
    <w:rsid w:val="009B41F1"/>
    <w:rsid w:val="009C7FF4"/>
    <w:rsid w:val="009E30E4"/>
    <w:rsid w:val="009F087A"/>
    <w:rsid w:val="009F3F25"/>
    <w:rsid w:val="009F4393"/>
    <w:rsid w:val="00A1224F"/>
    <w:rsid w:val="00A14287"/>
    <w:rsid w:val="00A14F69"/>
    <w:rsid w:val="00A17739"/>
    <w:rsid w:val="00A37776"/>
    <w:rsid w:val="00A4386E"/>
    <w:rsid w:val="00A462EA"/>
    <w:rsid w:val="00A666A2"/>
    <w:rsid w:val="00A66E99"/>
    <w:rsid w:val="00A71A89"/>
    <w:rsid w:val="00A82276"/>
    <w:rsid w:val="00AB76ED"/>
    <w:rsid w:val="00AC4FC1"/>
    <w:rsid w:val="00AC512B"/>
    <w:rsid w:val="00AC7507"/>
    <w:rsid w:val="00AE075B"/>
    <w:rsid w:val="00AE5166"/>
    <w:rsid w:val="00AE6BB2"/>
    <w:rsid w:val="00AF07BB"/>
    <w:rsid w:val="00AF093C"/>
    <w:rsid w:val="00AF4B6D"/>
    <w:rsid w:val="00AF65EF"/>
    <w:rsid w:val="00B039F2"/>
    <w:rsid w:val="00B0622D"/>
    <w:rsid w:val="00B066E8"/>
    <w:rsid w:val="00B34153"/>
    <w:rsid w:val="00B3597F"/>
    <w:rsid w:val="00B3684B"/>
    <w:rsid w:val="00B5708C"/>
    <w:rsid w:val="00B73271"/>
    <w:rsid w:val="00B75A3B"/>
    <w:rsid w:val="00B85B64"/>
    <w:rsid w:val="00BA3769"/>
    <w:rsid w:val="00BB6943"/>
    <w:rsid w:val="00BB6BDF"/>
    <w:rsid w:val="00BC52D7"/>
    <w:rsid w:val="00BF34D2"/>
    <w:rsid w:val="00BF6313"/>
    <w:rsid w:val="00C01A0D"/>
    <w:rsid w:val="00C0273B"/>
    <w:rsid w:val="00C0434F"/>
    <w:rsid w:val="00C16D66"/>
    <w:rsid w:val="00C26332"/>
    <w:rsid w:val="00C461CC"/>
    <w:rsid w:val="00C57F04"/>
    <w:rsid w:val="00C74054"/>
    <w:rsid w:val="00C76576"/>
    <w:rsid w:val="00C81869"/>
    <w:rsid w:val="00C943AE"/>
    <w:rsid w:val="00CA013A"/>
    <w:rsid w:val="00CA2032"/>
    <w:rsid w:val="00CC1A5F"/>
    <w:rsid w:val="00CE4C0A"/>
    <w:rsid w:val="00CF4697"/>
    <w:rsid w:val="00D00C3E"/>
    <w:rsid w:val="00D04315"/>
    <w:rsid w:val="00D06DE1"/>
    <w:rsid w:val="00D129AC"/>
    <w:rsid w:val="00D22630"/>
    <w:rsid w:val="00D23732"/>
    <w:rsid w:val="00D303E0"/>
    <w:rsid w:val="00D36F37"/>
    <w:rsid w:val="00D37A8D"/>
    <w:rsid w:val="00D37F27"/>
    <w:rsid w:val="00D607E8"/>
    <w:rsid w:val="00D62D93"/>
    <w:rsid w:val="00D63DC0"/>
    <w:rsid w:val="00D86AB7"/>
    <w:rsid w:val="00D91557"/>
    <w:rsid w:val="00DA3423"/>
    <w:rsid w:val="00DA4778"/>
    <w:rsid w:val="00DB115D"/>
    <w:rsid w:val="00DC264A"/>
    <w:rsid w:val="00DC51B5"/>
    <w:rsid w:val="00DD1E78"/>
    <w:rsid w:val="00DD51E3"/>
    <w:rsid w:val="00DE1113"/>
    <w:rsid w:val="00DE4366"/>
    <w:rsid w:val="00DF4206"/>
    <w:rsid w:val="00E06287"/>
    <w:rsid w:val="00E16741"/>
    <w:rsid w:val="00E2285C"/>
    <w:rsid w:val="00E428FF"/>
    <w:rsid w:val="00E43BD3"/>
    <w:rsid w:val="00E724B4"/>
    <w:rsid w:val="00E74D68"/>
    <w:rsid w:val="00E77AB6"/>
    <w:rsid w:val="00E802DE"/>
    <w:rsid w:val="00E859F3"/>
    <w:rsid w:val="00EC6F89"/>
    <w:rsid w:val="00EF7ADF"/>
    <w:rsid w:val="00F01C17"/>
    <w:rsid w:val="00F04050"/>
    <w:rsid w:val="00F06836"/>
    <w:rsid w:val="00F30147"/>
    <w:rsid w:val="00F339BD"/>
    <w:rsid w:val="00F37374"/>
    <w:rsid w:val="00F512B5"/>
    <w:rsid w:val="00F60BAD"/>
    <w:rsid w:val="00F6329C"/>
    <w:rsid w:val="00F649EF"/>
    <w:rsid w:val="00F66DCE"/>
    <w:rsid w:val="00F70178"/>
    <w:rsid w:val="00F777F7"/>
    <w:rsid w:val="00F84A7E"/>
    <w:rsid w:val="00FA3147"/>
    <w:rsid w:val="00FB5A84"/>
    <w:rsid w:val="00FC3D0F"/>
    <w:rsid w:val="00FC5037"/>
    <w:rsid w:val="00FE2D76"/>
    <w:rsid w:val="00FE4954"/>
    <w:rsid w:val="00FE4C39"/>
    <w:rsid w:val="00FF00C3"/>
    <w:rsid w:val="00FF1745"/>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34"/>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34"/>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веб)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uiPriority w:val="99"/>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 w:type="paragraph" w:styleId="afe">
    <w:name w:val="Body Text"/>
    <w:basedOn w:val="a"/>
    <w:link w:val="aff"/>
    <w:uiPriority w:val="99"/>
    <w:semiHidden/>
    <w:unhideWhenUsed/>
    <w:rsid w:val="00632F1E"/>
    <w:pPr>
      <w:spacing w:after="120"/>
    </w:pPr>
  </w:style>
  <w:style w:type="character" w:customStyle="1" w:styleId="aff">
    <w:name w:val="Основной текст Знак"/>
    <w:basedOn w:val="a0"/>
    <w:link w:val="afe"/>
    <w:uiPriority w:val="99"/>
    <w:semiHidden/>
    <w:rsid w:val="0063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60AB-875E-4010-971D-7154473C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Дюкин Александр Александрович</cp:lastModifiedBy>
  <cp:revision>10</cp:revision>
  <cp:lastPrinted>2019-05-31T10:17:00Z</cp:lastPrinted>
  <dcterms:created xsi:type="dcterms:W3CDTF">2019-05-27T11:25:00Z</dcterms:created>
  <dcterms:modified xsi:type="dcterms:W3CDTF">2019-05-31T12:02:00Z</dcterms:modified>
</cp:coreProperties>
</file>